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2FDF6B" w14:textId="50055B7C" w:rsidR="00015376" w:rsidRPr="008C0F11" w:rsidRDefault="00015376" w:rsidP="007075EB">
      <w:pPr>
        <w:pStyle w:val="Subtitle"/>
        <w:rPr>
          <w:rStyle w:val="TitleChar"/>
          <w:b/>
        </w:rPr>
      </w:pPr>
      <w:bookmarkStart w:id="0" w:name="_GoBack"/>
      <w:bookmarkEnd w:id="0"/>
      <w:r w:rsidRPr="008C0F11">
        <w:rPr>
          <w:rStyle w:val="TitleChar"/>
          <w:b/>
        </w:rPr>
        <w:t xml:space="preserve">Review of </w:t>
      </w:r>
      <w:r w:rsidR="001D3887" w:rsidRPr="008C0F11">
        <w:rPr>
          <w:rStyle w:val="TitleChar"/>
          <w:b/>
        </w:rPr>
        <w:t>Management Controls</w:t>
      </w:r>
      <w:r w:rsidRPr="008C0F11">
        <w:rPr>
          <w:rStyle w:val="TitleChar"/>
          <w:b/>
        </w:rPr>
        <w:t xml:space="preserve"> for</w:t>
      </w:r>
      <w:r w:rsidR="00BF7C7F" w:rsidRPr="008C0F11">
        <w:rPr>
          <w:rStyle w:val="TitleChar"/>
          <w:b/>
        </w:rPr>
        <w:t xml:space="preserve"> the</w:t>
      </w:r>
      <w:r w:rsidRPr="008C0F11">
        <w:rPr>
          <w:rStyle w:val="TitleChar"/>
          <w:b/>
        </w:rPr>
        <w:t xml:space="preserve"> </w:t>
      </w:r>
      <w:r w:rsidR="001D3887" w:rsidRPr="008C0F11">
        <w:rPr>
          <w:rStyle w:val="TitleChar"/>
          <w:b/>
        </w:rPr>
        <w:t>R</w:t>
      </w:r>
      <w:r w:rsidR="00BF7C7F" w:rsidRPr="008C0F11">
        <w:rPr>
          <w:rStyle w:val="TitleChar"/>
          <w:b/>
        </w:rPr>
        <w:t>ubyfish</w:t>
      </w:r>
      <w:r w:rsidRPr="008C0F11">
        <w:rPr>
          <w:rStyle w:val="TitleChar"/>
          <w:b/>
        </w:rPr>
        <w:t xml:space="preserve"> </w:t>
      </w:r>
      <w:r w:rsidR="00BF7C7F" w:rsidRPr="008C0F11">
        <w:rPr>
          <w:rStyle w:val="TitleChar"/>
          <w:b/>
        </w:rPr>
        <w:t>3</w:t>
      </w:r>
      <w:r w:rsidR="002A28D1" w:rsidRPr="008C0F11">
        <w:rPr>
          <w:rStyle w:val="TitleChar"/>
          <w:b/>
        </w:rPr>
        <w:t xml:space="preserve"> </w:t>
      </w:r>
      <w:r w:rsidR="001D3887" w:rsidRPr="008C0F11">
        <w:rPr>
          <w:rStyle w:val="TitleChar"/>
          <w:b/>
        </w:rPr>
        <w:t>F</w:t>
      </w:r>
      <w:r w:rsidR="00BF7C7F" w:rsidRPr="008C0F11">
        <w:rPr>
          <w:rStyle w:val="TitleChar"/>
          <w:b/>
        </w:rPr>
        <w:t>isher</w:t>
      </w:r>
      <w:r w:rsidR="001350F8">
        <w:rPr>
          <w:rStyle w:val="TitleChar"/>
          <w:b/>
        </w:rPr>
        <w:t xml:space="preserve">y </w:t>
      </w:r>
      <w:r w:rsidR="0038766D">
        <w:rPr>
          <w:rStyle w:val="TitleChar"/>
          <w:b/>
        </w:rPr>
        <w:br/>
      </w:r>
      <w:r w:rsidR="0038766D" w:rsidRPr="008C0F11">
        <w:rPr>
          <w:rStyle w:val="TitleChar"/>
          <w:b/>
        </w:rPr>
        <w:t>(</w:t>
      </w:r>
      <w:r w:rsidR="0038766D">
        <w:rPr>
          <w:rStyle w:val="TitleChar"/>
          <w:b/>
        </w:rPr>
        <w:t>RBY 3</w:t>
      </w:r>
      <w:r w:rsidR="0038766D" w:rsidRPr="008C0F11">
        <w:rPr>
          <w:rStyle w:val="TitleChar"/>
          <w:b/>
        </w:rPr>
        <w:t>)</w:t>
      </w:r>
      <w:r w:rsidR="0038766D">
        <w:rPr>
          <w:rStyle w:val="TitleChar"/>
          <w:b/>
        </w:rPr>
        <w:t xml:space="preserve"> in 2016</w:t>
      </w:r>
    </w:p>
    <w:p w14:paraId="7C9AE8DB" w14:textId="77777777" w:rsidR="007075EB" w:rsidRDefault="007075EB" w:rsidP="007075EB">
      <w:pPr>
        <w:pStyle w:val="Subtitle"/>
        <w:rPr>
          <w:b w:val="0"/>
        </w:rPr>
      </w:pPr>
      <w:r>
        <w:rPr>
          <w:b w:val="0"/>
        </w:rPr>
        <w:t xml:space="preserve"> </w:t>
      </w:r>
    </w:p>
    <w:p w14:paraId="0F61A62F" w14:textId="77777777" w:rsidR="007075EB" w:rsidRDefault="007075EB" w:rsidP="007075EB">
      <w:pPr>
        <w:pStyle w:val="ReturnAddress"/>
        <w:jc w:val="left"/>
        <w:rPr>
          <w:rFonts w:ascii="Arial Narrow" w:hAnsi="Arial Narrow"/>
          <w:color w:val="808080"/>
          <w:sz w:val="24"/>
        </w:rPr>
      </w:pPr>
    </w:p>
    <w:p w14:paraId="303110AC" w14:textId="73388CAE" w:rsidR="007075EB" w:rsidRDefault="006C57DB" w:rsidP="007075EB">
      <w:pPr>
        <w:pStyle w:val="ISBN"/>
        <w:rPr>
          <w:lang w:val="en-AU"/>
        </w:rPr>
      </w:pPr>
      <w:r>
        <w:t xml:space="preserve">MPI </w:t>
      </w:r>
      <w:r w:rsidR="006D0580">
        <w:t>Discussion</w:t>
      </w:r>
      <w:r w:rsidR="007075EB">
        <w:t xml:space="preserve"> Paper</w:t>
      </w:r>
      <w:r w:rsidR="007869B3">
        <w:t xml:space="preserve"> </w:t>
      </w:r>
      <w:r w:rsidR="007075EB">
        <w:t xml:space="preserve">No: </w:t>
      </w:r>
      <w:r w:rsidR="007075EB">
        <w:rPr>
          <w:lang w:val="en-AU"/>
        </w:rPr>
        <w:t>20</w:t>
      </w:r>
      <w:r w:rsidR="007B752C">
        <w:rPr>
          <w:lang w:val="en-AU"/>
        </w:rPr>
        <w:t>1</w:t>
      </w:r>
      <w:r w:rsidR="0020484E">
        <w:rPr>
          <w:lang w:val="en-AU"/>
        </w:rPr>
        <w:t>6</w:t>
      </w:r>
      <w:r w:rsidR="00FE7047">
        <w:rPr>
          <w:lang w:val="en-AU"/>
        </w:rPr>
        <w:t>/10</w:t>
      </w:r>
    </w:p>
    <w:p w14:paraId="655967C8" w14:textId="77777777" w:rsidR="007075EB" w:rsidRDefault="007075EB" w:rsidP="007075EB">
      <w:pPr>
        <w:pStyle w:val="ISBN"/>
      </w:pPr>
    </w:p>
    <w:p w14:paraId="31EF4092" w14:textId="77777777" w:rsidR="007075EB" w:rsidRDefault="007075EB" w:rsidP="007075EB">
      <w:pPr>
        <w:pStyle w:val="ISBN"/>
      </w:pPr>
    </w:p>
    <w:p w14:paraId="428CDD82" w14:textId="77777777" w:rsidR="007075EB" w:rsidRDefault="007075EB" w:rsidP="007075EB">
      <w:pPr>
        <w:pStyle w:val="ISBN"/>
      </w:pPr>
    </w:p>
    <w:p w14:paraId="0CE470F3" w14:textId="77777777" w:rsidR="008C0F11" w:rsidRDefault="008C0F11" w:rsidP="008C0F11">
      <w:pPr>
        <w:pStyle w:val="ISBN"/>
      </w:pPr>
      <w:r>
        <w:t xml:space="preserve">Prepared for consultation by the Ministry for Primary Industries </w:t>
      </w:r>
    </w:p>
    <w:p w14:paraId="311A8E1B" w14:textId="77777777" w:rsidR="007075EB" w:rsidRDefault="007075EB" w:rsidP="007075EB">
      <w:pPr>
        <w:pStyle w:val="ISBN"/>
      </w:pPr>
    </w:p>
    <w:p w14:paraId="62CA7F64" w14:textId="77777777" w:rsidR="007075EB" w:rsidRDefault="007075EB" w:rsidP="007075EB">
      <w:pPr>
        <w:pStyle w:val="ISBN"/>
      </w:pPr>
    </w:p>
    <w:p w14:paraId="0D861A83" w14:textId="63FE61A2" w:rsidR="007075EB" w:rsidRDefault="007075EB" w:rsidP="007075EB">
      <w:pPr>
        <w:pStyle w:val="ISBN"/>
        <w:rPr>
          <w:spacing w:val="-3"/>
          <w:lang w:val="en-AU"/>
        </w:rPr>
      </w:pPr>
      <w:r>
        <w:t xml:space="preserve">ISBN No: </w:t>
      </w:r>
      <w:r w:rsidR="00FE7047" w:rsidRPr="00FE7047">
        <w:t>978-1-77665-266-2 (online)</w:t>
      </w:r>
    </w:p>
    <w:p w14:paraId="6CB3DEBE" w14:textId="091BC599" w:rsidR="007075EB" w:rsidRDefault="007075EB" w:rsidP="007075EB">
      <w:pPr>
        <w:pStyle w:val="ISBN"/>
      </w:pPr>
      <w:r>
        <w:t xml:space="preserve">ISSN No: </w:t>
      </w:r>
      <w:r w:rsidR="00FE7047" w:rsidRPr="00FE7047">
        <w:t>2253-3907 (online)</w:t>
      </w:r>
    </w:p>
    <w:p w14:paraId="4B74FFFB" w14:textId="77777777" w:rsidR="007075EB" w:rsidRDefault="007075EB" w:rsidP="007075EB">
      <w:pPr>
        <w:pStyle w:val="ReturnAddress"/>
        <w:jc w:val="left"/>
        <w:outlineLvl w:val="0"/>
        <w:rPr>
          <w:rFonts w:ascii="Arial Narrow" w:hAnsi="Arial Narrow"/>
          <w:sz w:val="24"/>
        </w:rPr>
      </w:pPr>
    </w:p>
    <w:p w14:paraId="628D1BD2" w14:textId="77777777" w:rsidR="007075EB" w:rsidRDefault="007075EB" w:rsidP="007075EB">
      <w:pPr>
        <w:pStyle w:val="ReturnAddress"/>
        <w:jc w:val="left"/>
        <w:rPr>
          <w:rFonts w:ascii="Arial Narrow" w:hAnsi="Arial Narrow"/>
          <w:sz w:val="24"/>
        </w:rPr>
      </w:pPr>
    </w:p>
    <w:p w14:paraId="5A7126BF" w14:textId="77777777" w:rsidR="007075EB" w:rsidRDefault="007075EB" w:rsidP="007075EB">
      <w:pPr>
        <w:pStyle w:val="ReturnAddress"/>
        <w:jc w:val="left"/>
        <w:rPr>
          <w:rFonts w:ascii="Arial Narrow" w:hAnsi="Arial Narrow"/>
          <w:sz w:val="24"/>
        </w:rPr>
      </w:pPr>
    </w:p>
    <w:p w14:paraId="41E856F6" w14:textId="77777777" w:rsidR="007075EB" w:rsidRDefault="007075EB" w:rsidP="007075EB">
      <w:pPr>
        <w:pStyle w:val="ReturnAddress"/>
        <w:jc w:val="left"/>
        <w:outlineLvl w:val="0"/>
        <w:rPr>
          <w:rFonts w:ascii="Arial Narrow" w:hAnsi="Arial Narrow"/>
          <w:sz w:val="24"/>
        </w:rPr>
      </w:pPr>
    </w:p>
    <w:p w14:paraId="095CF296" w14:textId="4DBB9A5A" w:rsidR="00786686" w:rsidRPr="00471C3D" w:rsidRDefault="0038766D" w:rsidP="00471C3D">
      <w:pPr>
        <w:pStyle w:val="Date-frontpage"/>
        <w:sectPr w:rsidR="00786686" w:rsidRPr="00471C3D" w:rsidSect="00B72DD3">
          <w:headerReference w:type="default" r:id="rId11"/>
          <w:footerReference w:type="default" r:id="rId12"/>
          <w:pgSz w:w="11906" w:h="16838" w:code="9"/>
          <w:pgMar w:top="7371" w:right="907" w:bottom="567" w:left="4876" w:header="720" w:footer="720" w:gutter="0"/>
          <w:cols w:space="720"/>
        </w:sectPr>
      </w:pPr>
      <w:r>
        <w:t>June</w:t>
      </w:r>
      <w:r w:rsidR="007075EB">
        <w:t xml:space="preserve"> 20</w:t>
      </w:r>
      <w:r w:rsidR="007B752C">
        <w:t>1</w:t>
      </w:r>
      <w:r w:rsidR="0020484E">
        <w:t>6</w:t>
      </w:r>
    </w:p>
    <w:p w14:paraId="37C24D8D" w14:textId="77777777" w:rsidR="008C0F11" w:rsidRDefault="008C0F11" w:rsidP="008C0F11">
      <w:pPr>
        <w:pStyle w:val="Disclaimer"/>
      </w:pPr>
      <w:r>
        <w:lastRenderedPageBreak/>
        <w:t>Disclaimer</w:t>
      </w:r>
    </w:p>
    <w:p w14:paraId="3425FB2E" w14:textId="77777777" w:rsidR="008C0F11" w:rsidRPr="001C02C0" w:rsidRDefault="008C0F11" w:rsidP="008C0F11">
      <w:r w:rsidRPr="001C02C0">
        <w:t>The information in this publication is not government policy. While every effort has been made to ensure the information is accurate, the Ministry for Primary Industries does not accept any responsibility or liability for error of fact, omission, interpretation or opinion that may be present, nor for the consequences of any decisions based on this information. Any view or opinion expressed does not necessarily represent the view of the Ministry for Primary Industries.</w:t>
      </w:r>
    </w:p>
    <w:p w14:paraId="3021EF33" w14:textId="77777777" w:rsidR="008C0F11" w:rsidRPr="001C02C0" w:rsidRDefault="008C0F11" w:rsidP="008C0F11">
      <w:pPr>
        <w:spacing w:afterLines="120" w:after="288" w:line="320" w:lineRule="exact"/>
      </w:pPr>
      <w:r w:rsidRPr="001C02C0">
        <w:t>Requests for further copies should be directed to:</w:t>
      </w:r>
    </w:p>
    <w:p w14:paraId="20E2490D" w14:textId="77777777" w:rsidR="008C0F11" w:rsidRPr="001C02C0" w:rsidRDefault="008C0F11" w:rsidP="008C0F11">
      <w:pPr>
        <w:spacing w:afterLines="120" w:after="288" w:line="320" w:lineRule="exact"/>
      </w:pPr>
      <w:r w:rsidRPr="001C02C0">
        <w:t>Publications Logistics Officer</w:t>
      </w:r>
      <w:r>
        <w:br/>
      </w:r>
      <w:r w:rsidRPr="001C02C0">
        <w:t>Ministry for Primary Industries</w:t>
      </w:r>
      <w:r>
        <w:br/>
      </w:r>
      <w:r w:rsidRPr="001C02C0">
        <w:t>PO Box 2526</w:t>
      </w:r>
      <w:r>
        <w:br/>
      </w:r>
      <w:r w:rsidRPr="001C02C0">
        <w:t>WELLINGTON 6140</w:t>
      </w:r>
    </w:p>
    <w:p w14:paraId="2419432D" w14:textId="77777777" w:rsidR="008C0F11" w:rsidRPr="001C02C0" w:rsidRDefault="008C0F11" w:rsidP="008C0F11">
      <w:pPr>
        <w:spacing w:afterLines="120" w:after="288" w:line="320" w:lineRule="exact"/>
      </w:pPr>
      <w:r w:rsidRPr="001C02C0">
        <w:t xml:space="preserve">Email: </w:t>
      </w:r>
      <w:hyperlink r:id="rId13" w:history="1">
        <w:r w:rsidRPr="001C02C0">
          <w:rPr>
            <w:rStyle w:val="Hyperlink"/>
          </w:rPr>
          <w:t>brand@mpi.govt.nz</w:t>
        </w:r>
      </w:hyperlink>
      <w:r>
        <w:br/>
      </w:r>
      <w:r w:rsidRPr="001C02C0">
        <w:t>Telephone: 0800 00 83 33</w:t>
      </w:r>
      <w:r>
        <w:br/>
      </w:r>
      <w:r w:rsidRPr="001C02C0">
        <w:t>Facsimile: 04-894 0300</w:t>
      </w:r>
    </w:p>
    <w:p w14:paraId="7832EBD0" w14:textId="77777777" w:rsidR="008C0F11" w:rsidRPr="001C02C0" w:rsidRDefault="008C0F11" w:rsidP="008C0F11">
      <w:pPr>
        <w:spacing w:afterLines="120" w:after="288" w:line="320" w:lineRule="exact"/>
        <w:rPr>
          <w:rStyle w:val="Hyperlink"/>
        </w:rPr>
      </w:pPr>
      <w:r w:rsidRPr="001C02C0">
        <w:t xml:space="preserve">This publication is also available on the Ministry for Primary Industries website at </w:t>
      </w:r>
      <w:r>
        <w:br/>
      </w:r>
      <w:hyperlink r:id="rId14" w:history="1">
        <w:r w:rsidRPr="001C02C0">
          <w:rPr>
            <w:rStyle w:val="Hyperlink"/>
          </w:rPr>
          <w:t>http://www.mpi.govt.nz/news-resources/publications.aspx</w:t>
        </w:r>
      </w:hyperlink>
    </w:p>
    <w:p w14:paraId="548D7BEE" w14:textId="77777777" w:rsidR="008C0F11" w:rsidRPr="00DF306F" w:rsidRDefault="008C0F11" w:rsidP="008C0F11">
      <w:pPr>
        <w:spacing w:afterLines="120" w:after="288" w:line="320" w:lineRule="exact"/>
        <w:rPr>
          <w:sz w:val="22"/>
          <w:szCs w:val="22"/>
        </w:rPr>
        <w:sectPr w:rsidR="008C0F11" w:rsidRPr="00DF306F">
          <w:headerReference w:type="default" r:id="rId15"/>
          <w:footerReference w:type="even" r:id="rId16"/>
          <w:footerReference w:type="default" r:id="rId17"/>
          <w:footerReference w:type="first" r:id="rId18"/>
          <w:type w:val="oddPage"/>
          <w:pgSz w:w="11907" w:h="16840" w:code="9"/>
          <w:pgMar w:top="1134" w:right="1418" w:bottom="1134" w:left="1418" w:header="720" w:footer="720" w:gutter="0"/>
          <w:pgNumType w:fmt="lowerRoman" w:start="1"/>
          <w:cols w:space="720" w:equalWidth="0">
            <w:col w:w="9049"/>
          </w:cols>
        </w:sectPr>
      </w:pPr>
      <w:r w:rsidRPr="00DF306F">
        <w:rPr>
          <w:b/>
          <w:sz w:val="22"/>
          <w:szCs w:val="22"/>
        </w:rPr>
        <w:t>© Crown Copyright - Ministry for Primary Industries</w:t>
      </w:r>
      <w:r w:rsidRPr="00DF306F">
        <w:rPr>
          <w:sz w:val="22"/>
          <w:szCs w:val="22"/>
        </w:rPr>
        <w:t xml:space="preserve"> </w:t>
      </w:r>
    </w:p>
    <w:p w14:paraId="4DB0DCEF" w14:textId="4EDE5D37" w:rsidR="008C0F11" w:rsidRDefault="008C0F11">
      <w:pPr>
        <w:rPr>
          <w:rFonts w:ascii="Arial Narrow" w:hAnsi="Arial Narrow"/>
          <w:b/>
          <w:sz w:val="36"/>
        </w:rPr>
      </w:pPr>
    </w:p>
    <w:p w14:paraId="4DD32874" w14:textId="102A9C0A" w:rsidR="00786686" w:rsidRDefault="00786686">
      <w:pPr>
        <w:pStyle w:val="Contents"/>
      </w:pPr>
      <w:r>
        <w:t>Contents</w:t>
      </w:r>
      <w:r>
        <w:tab/>
      </w:r>
      <w:r>
        <w:rPr>
          <w:sz w:val="24"/>
        </w:rPr>
        <w:t>Page</w:t>
      </w:r>
    </w:p>
    <w:p w14:paraId="38C3BA51" w14:textId="77777777" w:rsidR="00786686" w:rsidRDefault="00786686"/>
    <w:p w14:paraId="2DD48A87" w14:textId="77777777" w:rsidR="00FE7047" w:rsidRDefault="00FE7047">
      <w:pPr>
        <w:pStyle w:val="TOC1"/>
        <w:rPr>
          <w:rFonts w:asciiTheme="minorHAnsi" w:eastAsiaTheme="minorEastAsia" w:hAnsiTheme="minorHAnsi" w:cstheme="minorBidi"/>
          <w:b w:val="0"/>
          <w:sz w:val="22"/>
          <w:szCs w:val="22"/>
          <w:lang w:eastAsia="en-NZ"/>
        </w:rPr>
      </w:pPr>
      <w:r>
        <w:fldChar w:fldCharType="begin"/>
      </w:r>
      <w:r>
        <w:instrText xml:space="preserve"> TOC \o "1-2" </w:instrText>
      </w:r>
      <w:r>
        <w:fldChar w:fldCharType="separate"/>
      </w:r>
      <w:r>
        <w:t>1</w:t>
      </w:r>
      <w:r>
        <w:rPr>
          <w:rFonts w:asciiTheme="minorHAnsi" w:eastAsiaTheme="minorEastAsia" w:hAnsiTheme="minorHAnsi" w:cstheme="minorBidi"/>
          <w:b w:val="0"/>
          <w:sz w:val="22"/>
          <w:szCs w:val="22"/>
          <w:lang w:eastAsia="en-NZ"/>
        </w:rPr>
        <w:tab/>
      </w:r>
      <w:r>
        <w:t>Submission Information</w:t>
      </w:r>
      <w:r>
        <w:tab/>
      </w:r>
      <w:r>
        <w:fldChar w:fldCharType="begin"/>
      </w:r>
      <w:r>
        <w:instrText xml:space="preserve"> PAGEREF _Toc453052957 \h </w:instrText>
      </w:r>
      <w:r>
        <w:fldChar w:fldCharType="separate"/>
      </w:r>
      <w:r>
        <w:t>1</w:t>
      </w:r>
      <w:r>
        <w:fldChar w:fldCharType="end"/>
      </w:r>
    </w:p>
    <w:p w14:paraId="4DD3354F" w14:textId="77777777" w:rsidR="00FE7047" w:rsidRDefault="00FE7047">
      <w:pPr>
        <w:pStyle w:val="TOC2"/>
        <w:rPr>
          <w:rFonts w:asciiTheme="minorHAnsi" w:eastAsiaTheme="minorEastAsia" w:hAnsiTheme="minorHAnsi" w:cstheme="minorBidi"/>
          <w:sz w:val="22"/>
          <w:szCs w:val="22"/>
          <w:lang w:eastAsia="en-NZ"/>
        </w:rPr>
      </w:pPr>
      <w:r>
        <w:t>1.1</w:t>
      </w:r>
      <w:r>
        <w:rPr>
          <w:rFonts w:asciiTheme="minorHAnsi" w:eastAsiaTheme="minorEastAsia" w:hAnsiTheme="minorHAnsi" w:cstheme="minorBidi"/>
          <w:sz w:val="22"/>
          <w:szCs w:val="22"/>
          <w:lang w:eastAsia="en-NZ"/>
        </w:rPr>
        <w:tab/>
      </w:r>
      <w:r>
        <w:t>Official Information Act 1982</w:t>
      </w:r>
      <w:r>
        <w:tab/>
      </w:r>
      <w:r>
        <w:fldChar w:fldCharType="begin"/>
      </w:r>
      <w:r>
        <w:instrText xml:space="preserve"> PAGEREF _Toc453052958 \h </w:instrText>
      </w:r>
      <w:r>
        <w:fldChar w:fldCharType="separate"/>
      </w:r>
      <w:r>
        <w:t>1</w:t>
      </w:r>
      <w:r>
        <w:fldChar w:fldCharType="end"/>
      </w:r>
    </w:p>
    <w:p w14:paraId="3AB0F07D" w14:textId="77777777" w:rsidR="00FE7047" w:rsidRDefault="00FE7047">
      <w:pPr>
        <w:pStyle w:val="TOC1"/>
        <w:rPr>
          <w:rFonts w:asciiTheme="minorHAnsi" w:eastAsiaTheme="minorEastAsia" w:hAnsiTheme="minorHAnsi" w:cstheme="minorBidi"/>
          <w:b w:val="0"/>
          <w:sz w:val="22"/>
          <w:szCs w:val="22"/>
          <w:lang w:eastAsia="en-NZ"/>
        </w:rPr>
      </w:pPr>
      <w:r>
        <w:t>2</w:t>
      </w:r>
      <w:r>
        <w:rPr>
          <w:rFonts w:asciiTheme="minorHAnsi" w:eastAsiaTheme="minorEastAsia" w:hAnsiTheme="minorHAnsi" w:cstheme="minorBidi"/>
          <w:b w:val="0"/>
          <w:sz w:val="22"/>
          <w:szCs w:val="22"/>
          <w:lang w:eastAsia="en-NZ"/>
        </w:rPr>
        <w:tab/>
      </w:r>
      <w:r>
        <w:t>Executive Summary</w:t>
      </w:r>
      <w:r>
        <w:tab/>
      </w:r>
      <w:r>
        <w:fldChar w:fldCharType="begin"/>
      </w:r>
      <w:r>
        <w:instrText xml:space="preserve"> PAGEREF _Toc453052959 \h </w:instrText>
      </w:r>
      <w:r>
        <w:fldChar w:fldCharType="separate"/>
      </w:r>
      <w:r>
        <w:t>2</w:t>
      </w:r>
      <w:r>
        <w:fldChar w:fldCharType="end"/>
      </w:r>
    </w:p>
    <w:p w14:paraId="3106CE9E" w14:textId="77777777" w:rsidR="00FE7047" w:rsidRDefault="00FE7047">
      <w:pPr>
        <w:pStyle w:val="TOC1"/>
        <w:rPr>
          <w:rFonts w:asciiTheme="minorHAnsi" w:eastAsiaTheme="minorEastAsia" w:hAnsiTheme="minorHAnsi" w:cstheme="minorBidi"/>
          <w:b w:val="0"/>
          <w:sz w:val="22"/>
          <w:szCs w:val="22"/>
          <w:lang w:eastAsia="en-NZ"/>
        </w:rPr>
      </w:pPr>
      <w:r>
        <w:t>3</w:t>
      </w:r>
      <w:r>
        <w:rPr>
          <w:rFonts w:asciiTheme="minorHAnsi" w:eastAsiaTheme="minorEastAsia" w:hAnsiTheme="minorHAnsi" w:cstheme="minorBidi"/>
          <w:b w:val="0"/>
          <w:sz w:val="22"/>
          <w:szCs w:val="22"/>
          <w:lang w:eastAsia="en-NZ"/>
        </w:rPr>
        <w:tab/>
      </w:r>
      <w:r>
        <w:t>Purpose</w:t>
      </w:r>
      <w:r>
        <w:tab/>
      </w:r>
      <w:r>
        <w:fldChar w:fldCharType="begin"/>
      </w:r>
      <w:r>
        <w:instrText xml:space="preserve"> PAGEREF _Toc453052960 \h </w:instrText>
      </w:r>
      <w:r>
        <w:fldChar w:fldCharType="separate"/>
      </w:r>
      <w:r>
        <w:t>3</w:t>
      </w:r>
      <w:r>
        <w:fldChar w:fldCharType="end"/>
      </w:r>
    </w:p>
    <w:p w14:paraId="6D3149C1" w14:textId="77777777" w:rsidR="00FE7047" w:rsidRDefault="00FE7047">
      <w:pPr>
        <w:pStyle w:val="TOC2"/>
        <w:rPr>
          <w:rFonts w:asciiTheme="minorHAnsi" w:eastAsiaTheme="minorEastAsia" w:hAnsiTheme="minorHAnsi" w:cstheme="minorBidi"/>
          <w:sz w:val="22"/>
          <w:szCs w:val="22"/>
          <w:lang w:eastAsia="en-NZ"/>
        </w:rPr>
      </w:pPr>
      <w:r>
        <w:t>3.1</w:t>
      </w:r>
      <w:r>
        <w:rPr>
          <w:rFonts w:asciiTheme="minorHAnsi" w:eastAsiaTheme="minorEastAsia" w:hAnsiTheme="minorHAnsi" w:cstheme="minorBidi"/>
          <w:sz w:val="22"/>
          <w:szCs w:val="22"/>
          <w:lang w:eastAsia="en-NZ"/>
        </w:rPr>
        <w:tab/>
      </w:r>
      <w:r>
        <w:t>Issue/Need for action</w:t>
      </w:r>
      <w:r>
        <w:tab/>
      </w:r>
      <w:r>
        <w:fldChar w:fldCharType="begin"/>
      </w:r>
      <w:r>
        <w:instrText xml:space="preserve"> PAGEREF _Toc453052961 \h </w:instrText>
      </w:r>
      <w:r>
        <w:fldChar w:fldCharType="separate"/>
      </w:r>
      <w:r>
        <w:t>3</w:t>
      </w:r>
      <w:r>
        <w:fldChar w:fldCharType="end"/>
      </w:r>
    </w:p>
    <w:p w14:paraId="16E76076" w14:textId="77777777" w:rsidR="00FE7047" w:rsidRDefault="00FE7047">
      <w:pPr>
        <w:pStyle w:val="TOC2"/>
        <w:rPr>
          <w:rFonts w:asciiTheme="minorHAnsi" w:eastAsiaTheme="minorEastAsia" w:hAnsiTheme="minorHAnsi" w:cstheme="minorBidi"/>
          <w:sz w:val="22"/>
          <w:szCs w:val="22"/>
          <w:lang w:eastAsia="en-NZ"/>
        </w:rPr>
      </w:pPr>
      <w:r>
        <w:t>3.2</w:t>
      </w:r>
      <w:r>
        <w:rPr>
          <w:rFonts w:asciiTheme="minorHAnsi" w:eastAsiaTheme="minorEastAsia" w:hAnsiTheme="minorHAnsi" w:cstheme="minorBidi"/>
          <w:sz w:val="22"/>
          <w:szCs w:val="22"/>
          <w:lang w:eastAsia="en-NZ"/>
        </w:rPr>
        <w:tab/>
      </w:r>
      <w:r>
        <w:t>Management approach</w:t>
      </w:r>
      <w:r>
        <w:tab/>
      </w:r>
      <w:r>
        <w:fldChar w:fldCharType="begin"/>
      </w:r>
      <w:r>
        <w:instrText xml:space="preserve"> PAGEREF _Toc453052962 \h </w:instrText>
      </w:r>
      <w:r>
        <w:fldChar w:fldCharType="separate"/>
      </w:r>
      <w:r>
        <w:t>3</w:t>
      </w:r>
      <w:r>
        <w:fldChar w:fldCharType="end"/>
      </w:r>
    </w:p>
    <w:p w14:paraId="456C3F59" w14:textId="77777777" w:rsidR="00FE7047" w:rsidRDefault="00FE7047">
      <w:pPr>
        <w:pStyle w:val="TOC1"/>
        <w:rPr>
          <w:rFonts w:asciiTheme="minorHAnsi" w:eastAsiaTheme="minorEastAsia" w:hAnsiTheme="minorHAnsi" w:cstheme="minorBidi"/>
          <w:b w:val="0"/>
          <w:sz w:val="22"/>
          <w:szCs w:val="22"/>
          <w:lang w:eastAsia="en-NZ"/>
        </w:rPr>
      </w:pPr>
      <w:r>
        <w:t>4</w:t>
      </w:r>
      <w:r>
        <w:rPr>
          <w:rFonts w:asciiTheme="minorHAnsi" w:eastAsiaTheme="minorEastAsia" w:hAnsiTheme="minorHAnsi" w:cstheme="minorBidi"/>
          <w:b w:val="0"/>
          <w:sz w:val="22"/>
          <w:szCs w:val="22"/>
          <w:lang w:eastAsia="en-NZ"/>
        </w:rPr>
        <w:tab/>
      </w:r>
      <w:r>
        <w:t>Background Information</w:t>
      </w:r>
      <w:r>
        <w:tab/>
      </w:r>
      <w:r>
        <w:fldChar w:fldCharType="begin"/>
      </w:r>
      <w:r>
        <w:instrText xml:space="preserve"> PAGEREF _Toc453052963 \h </w:instrText>
      </w:r>
      <w:r>
        <w:fldChar w:fldCharType="separate"/>
      </w:r>
      <w:r>
        <w:t>3</w:t>
      </w:r>
      <w:r>
        <w:fldChar w:fldCharType="end"/>
      </w:r>
    </w:p>
    <w:p w14:paraId="64C700D0" w14:textId="77777777" w:rsidR="00FE7047" w:rsidRDefault="00FE7047">
      <w:pPr>
        <w:pStyle w:val="TOC2"/>
        <w:rPr>
          <w:rFonts w:asciiTheme="minorHAnsi" w:eastAsiaTheme="minorEastAsia" w:hAnsiTheme="minorHAnsi" w:cstheme="minorBidi"/>
          <w:sz w:val="22"/>
          <w:szCs w:val="22"/>
          <w:lang w:eastAsia="en-NZ"/>
        </w:rPr>
      </w:pPr>
      <w:r>
        <w:t>4.1</w:t>
      </w:r>
      <w:r>
        <w:rPr>
          <w:rFonts w:asciiTheme="minorHAnsi" w:eastAsiaTheme="minorEastAsia" w:hAnsiTheme="minorHAnsi" w:cstheme="minorBidi"/>
          <w:sz w:val="22"/>
          <w:szCs w:val="22"/>
          <w:lang w:eastAsia="en-NZ"/>
        </w:rPr>
        <w:tab/>
      </w:r>
      <w:r>
        <w:t>Biological characteristics of rubyfish</w:t>
      </w:r>
      <w:r>
        <w:tab/>
      </w:r>
      <w:r>
        <w:fldChar w:fldCharType="begin"/>
      </w:r>
      <w:r>
        <w:instrText xml:space="preserve"> PAGEREF _Toc453052964 \h </w:instrText>
      </w:r>
      <w:r>
        <w:fldChar w:fldCharType="separate"/>
      </w:r>
      <w:r>
        <w:t>3</w:t>
      </w:r>
      <w:r>
        <w:fldChar w:fldCharType="end"/>
      </w:r>
    </w:p>
    <w:p w14:paraId="41771057" w14:textId="77777777" w:rsidR="00FE7047" w:rsidRDefault="00FE7047">
      <w:pPr>
        <w:pStyle w:val="TOC2"/>
        <w:rPr>
          <w:rFonts w:asciiTheme="minorHAnsi" w:eastAsiaTheme="minorEastAsia" w:hAnsiTheme="minorHAnsi" w:cstheme="minorBidi"/>
          <w:sz w:val="22"/>
          <w:szCs w:val="22"/>
          <w:lang w:eastAsia="en-NZ"/>
        </w:rPr>
      </w:pPr>
      <w:r>
        <w:t>4.2</w:t>
      </w:r>
      <w:r>
        <w:rPr>
          <w:rFonts w:asciiTheme="minorHAnsi" w:eastAsiaTheme="minorEastAsia" w:hAnsiTheme="minorHAnsi" w:cstheme="minorBidi"/>
          <w:sz w:val="22"/>
          <w:szCs w:val="22"/>
          <w:lang w:eastAsia="en-NZ"/>
        </w:rPr>
        <w:tab/>
      </w:r>
      <w:r>
        <w:t>Fishery description</w:t>
      </w:r>
      <w:r>
        <w:tab/>
      </w:r>
      <w:r>
        <w:fldChar w:fldCharType="begin"/>
      </w:r>
      <w:r>
        <w:instrText xml:space="preserve"> PAGEREF _Toc453052965 \h </w:instrText>
      </w:r>
      <w:r>
        <w:fldChar w:fldCharType="separate"/>
      </w:r>
      <w:r>
        <w:t>4</w:t>
      </w:r>
      <w:r>
        <w:fldChar w:fldCharType="end"/>
      </w:r>
    </w:p>
    <w:p w14:paraId="0FBABF36" w14:textId="77777777" w:rsidR="00FE7047" w:rsidRDefault="00FE7047">
      <w:pPr>
        <w:pStyle w:val="TOC2"/>
        <w:rPr>
          <w:rFonts w:asciiTheme="minorHAnsi" w:eastAsiaTheme="minorEastAsia" w:hAnsiTheme="minorHAnsi" w:cstheme="minorBidi"/>
          <w:sz w:val="22"/>
          <w:szCs w:val="22"/>
          <w:lang w:eastAsia="en-NZ"/>
        </w:rPr>
      </w:pPr>
      <w:r>
        <w:t>4.3</w:t>
      </w:r>
      <w:r>
        <w:rPr>
          <w:rFonts w:asciiTheme="minorHAnsi" w:eastAsiaTheme="minorEastAsia" w:hAnsiTheme="minorHAnsi" w:cstheme="minorBidi"/>
          <w:sz w:val="22"/>
          <w:szCs w:val="22"/>
          <w:lang w:eastAsia="en-NZ"/>
        </w:rPr>
        <w:tab/>
      </w:r>
      <w:r>
        <w:t>Previous review</w:t>
      </w:r>
      <w:r>
        <w:tab/>
      </w:r>
      <w:r>
        <w:fldChar w:fldCharType="begin"/>
      </w:r>
      <w:r>
        <w:instrText xml:space="preserve"> PAGEREF _Toc453052966 \h </w:instrText>
      </w:r>
      <w:r>
        <w:fldChar w:fldCharType="separate"/>
      </w:r>
      <w:r>
        <w:t>4</w:t>
      </w:r>
      <w:r>
        <w:fldChar w:fldCharType="end"/>
      </w:r>
    </w:p>
    <w:p w14:paraId="0A4639C9" w14:textId="77777777" w:rsidR="00FE7047" w:rsidRDefault="00FE7047">
      <w:pPr>
        <w:pStyle w:val="TOC2"/>
        <w:rPr>
          <w:rFonts w:asciiTheme="minorHAnsi" w:eastAsiaTheme="minorEastAsia" w:hAnsiTheme="minorHAnsi" w:cstheme="minorBidi"/>
          <w:sz w:val="22"/>
          <w:szCs w:val="22"/>
          <w:lang w:eastAsia="en-NZ"/>
        </w:rPr>
      </w:pPr>
      <w:r>
        <w:t>4.4</w:t>
      </w:r>
      <w:r>
        <w:rPr>
          <w:rFonts w:asciiTheme="minorHAnsi" w:eastAsiaTheme="minorEastAsia" w:hAnsiTheme="minorHAnsi" w:cstheme="minorBidi"/>
          <w:sz w:val="22"/>
          <w:szCs w:val="22"/>
          <w:lang w:eastAsia="en-NZ"/>
        </w:rPr>
        <w:tab/>
      </w:r>
      <w:r>
        <w:t>New information</w:t>
      </w:r>
      <w:r>
        <w:tab/>
      </w:r>
      <w:r>
        <w:fldChar w:fldCharType="begin"/>
      </w:r>
      <w:r>
        <w:instrText xml:space="preserve"> PAGEREF _Toc453052967 \h </w:instrText>
      </w:r>
      <w:r>
        <w:fldChar w:fldCharType="separate"/>
      </w:r>
      <w:r>
        <w:t>5</w:t>
      </w:r>
      <w:r>
        <w:fldChar w:fldCharType="end"/>
      </w:r>
    </w:p>
    <w:p w14:paraId="43238C37" w14:textId="77777777" w:rsidR="00FE7047" w:rsidRDefault="00FE7047">
      <w:pPr>
        <w:pStyle w:val="TOC1"/>
        <w:rPr>
          <w:rFonts w:asciiTheme="minorHAnsi" w:eastAsiaTheme="minorEastAsia" w:hAnsiTheme="minorHAnsi" w:cstheme="minorBidi"/>
          <w:b w:val="0"/>
          <w:sz w:val="22"/>
          <w:szCs w:val="22"/>
          <w:lang w:eastAsia="en-NZ"/>
        </w:rPr>
      </w:pPr>
      <w:r>
        <w:t>5</w:t>
      </w:r>
      <w:r>
        <w:rPr>
          <w:rFonts w:asciiTheme="minorHAnsi" w:eastAsiaTheme="minorEastAsia" w:hAnsiTheme="minorHAnsi" w:cstheme="minorBidi"/>
          <w:b w:val="0"/>
          <w:sz w:val="22"/>
          <w:szCs w:val="22"/>
          <w:lang w:eastAsia="en-NZ"/>
        </w:rPr>
        <w:tab/>
      </w:r>
      <w:r>
        <w:t>Legal Considerations</w:t>
      </w:r>
      <w:r>
        <w:tab/>
      </w:r>
      <w:r>
        <w:fldChar w:fldCharType="begin"/>
      </w:r>
      <w:r>
        <w:instrText xml:space="preserve"> PAGEREF _Toc453052968 \h </w:instrText>
      </w:r>
      <w:r>
        <w:fldChar w:fldCharType="separate"/>
      </w:r>
      <w:r>
        <w:t>5</w:t>
      </w:r>
      <w:r>
        <w:fldChar w:fldCharType="end"/>
      </w:r>
    </w:p>
    <w:p w14:paraId="45C6FCA9" w14:textId="77777777" w:rsidR="00FE7047" w:rsidRDefault="00FE7047">
      <w:pPr>
        <w:pStyle w:val="TOC2"/>
        <w:rPr>
          <w:rFonts w:asciiTheme="minorHAnsi" w:eastAsiaTheme="minorEastAsia" w:hAnsiTheme="minorHAnsi" w:cstheme="minorBidi"/>
          <w:sz w:val="22"/>
          <w:szCs w:val="22"/>
          <w:lang w:eastAsia="en-NZ"/>
        </w:rPr>
      </w:pPr>
      <w:r>
        <w:t>5.1</w:t>
      </w:r>
      <w:r>
        <w:rPr>
          <w:rFonts w:asciiTheme="minorHAnsi" w:eastAsiaTheme="minorEastAsia" w:hAnsiTheme="minorHAnsi" w:cstheme="minorBidi"/>
          <w:sz w:val="22"/>
          <w:szCs w:val="22"/>
          <w:lang w:eastAsia="en-NZ"/>
        </w:rPr>
        <w:tab/>
      </w:r>
      <w:r>
        <w:t>Setting management measures</w:t>
      </w:r>
      <w:r>
        <w:tab/>
      </w:r>
      <w:r>
        <w:fldChar w:fldCharType="begin"/>
      </w:r>
      <w:r>
        <w:instrText xml:space="preserve"> PAGEREF _Toc453052969 \h </w:instrText>
      </w:r>
      <w:r>
        <w:fldChar w:fldCharType="separate"/>
      </w:r>
      <w:r>
        <w:t>5</w:t>
      </w:r>
      <w:r>
        <w:fldChar w:fldCharType="end"/>
      </w:r>
    </w:p>
    <w:p w14:paraId="7DD7C1B2" w14:textId="77777777" w:rsidR="00FE7047" w:rsidRDefault="00FE7047">
      <w:pPr>
        <w:pStyle w:val="TOC2"/>
        <w:rPr>
          <w:rFonts w:asciiTheme="minorHAnsi" w:eastAsiaTheme="minorEastAsia" w:hAnsiTheme="minorHAnsi" w:cstheme="minorBidi"/>
          <w:sz w:val="22"/>
          <w:szCs w:val="22"/>
          <w:lang w:eastAsia="en-NZ"/>
        </w:rPr>
      </w:pPr>
      <w:r>
        <w:t>5.2</w:t>
      </w:r>
      <w:r>
        <w:rPr>
          <w:rFonts w:asciiTheme="minorHAnsi" w:eastAsiaTheme="minorEastAsia" w:hAnsiTheme="minorHAnsi" w:cstheme="minorBidi"/>
          <w:sz w:val="22"/>
          <w:szCs w:val="22"/>
          <w:lang w:eastAsia="en-NZ"/>
        </w:rPr>
        <w:tab/>
      </w:r>
      <w:r>
        <w:t>Further considerations</w:t>
      </w:r>
      <w:r>
        <w:tab/>
      </w:r>
      <w:r>
        <w:fldChar w:fldCharType="begin"/>
      </w:r>
      <w:r>
        <w:instrText xml:space="preserve"> PAGEREF _Toc453052970 \h </w:instrText>
      </w:r>
      <w:r>
        <w:fldChar w:fldCharType="separate"/>
      </w:r>
      <w:r>
        <w:t>6</w:t>
      </w:r>
      <w:r>
        <w:fldChar w:fldCharType="end"/>
      </w:r>
    </w:p>
    <w:p w14:paraId="592ED5DB" w14:textId="77777777" w:rsidR="00FE7047" w:rsidRDefault="00FE7047">
      <w:pPr>
        <w:pStyle w:val="TOC1"/>
        <w:rPr>
          <w:rFonts w:asciiTheme="minorHAnsi" w:eastAsiaTheme="minorEastAsia" w:hAnsiTheme="minorHAnsi" w:cstheme="minorBidi"/>
          <w:b w:val="0"/>
          <w:sz w:val="22"/>
          <w:szCs w:val="22"/>
          <w:lang w:eastAsia="en-NZ"/>
        </w:rPr>
      </w:pPr>
      <w:r>
        <w:t>6</w:t>
      </w:r>
      <w:r>
        <w:rPr>
          <w:rFonts w:asciiTheme="minorHAnsi" w:eastAsiaTheme="minorEastAsia" w:hAnsiTheme="minorHAnsi" w:cstheme="minorBidi"/>
          <w:b w:val="0"/>
          <w:sz w:val="22"/>
          <w:szCs w:val="22"/>
          <w:lang w:eastAsia="en-NZ"/>
        </w:rPr>
        <w:tab/>
      </w:r>
      <w:r>
        <w:t>Proposed Options</w:t>
      </w:r>
      <w:r>
        <w:tab/>
      </w:r>
      <w:r>
        <w:fldChar w:fldCharType="begin"/>
      </w:r>
      <w:r>
        <w:instrText xml:space="preserve"> PAGEREF _Toc453052971 \h </w:instrText>
      </w:r>
      <w:r>
        <w:fldChar w:fldCharType="separate"/>
      </w:r>
      <w:r>
        <w:t>7</w:t>
      </w:r>
      <w:r>
        <w:fldChar w:fldCharType="end"/>
      </w:r>
    </w:p>
    <w:p w14:paraId="74CF06B3" w14:textId="77777777" w:rsidR="00FE7047" w:rsidRDefault="00FE7047">
      <w:pPr>
        <w:pStyle w:val="TOC2"/>
        <w:rPr>
          <w:rFonts w:asciiTheme="minorHAnsi" w:eastAsiaTheme="minorEastAsia" w:hAnsiTheme="minorHAnsi" w:cstheme="minorBidi"/>
          <w:sz w:val="22"/>
          <w:szCs w:val="22"/>
          <w:lang w:eastAsia="en-NZ"/>
        </w:rPr>
      </w:pPr>
      <w:r>
        <w:t>6.1</w:t>
      </w:r>
      <w:r>
        <w:rPr>
          <w:rFonts w:asciiTheme="minorHAnsi" w:eastAsiaTheme="minorEastAsia" w:hAnsiTheme="minorHAnsi" w:cstheme="minorBidi"/>
          <w:sz w:val="22"/>
          <w:szCs w:val="22"/>
          <w:lang w:eastAsia="en-NZ"/>
        </w:rPr>
        <w:tab/>
      </w:r>
      <w:r>
        <w:t>Option 1 (Status quo)</w:t>
      </w:r>
      <w:r>
        <w:tab/>
      </w:r>
      <w:r>
        <w:fldChar w:fldCharType="begin"/>
      </w:r>
      <w:r>
        <w:instrText xml:space="preserve"> PAGEREF _Toc453052972 \h </w:instrText>
      </w:r>
      <w:r>
        <w:fldChar w:fldCharType="separate"/>
      </w:r>
      <w:r>
        <w:t>7</w:t>
      </w:r>
      <w:r>
        <w:fldChar w:fldCharType="end"/>
      </w:r>
    </w:p>
    <w:p w14:paraId="4541008E" w14:textId="77777777" w:rsidR="00FE7047" w:rsidRDefault="00FE7047">
      <w:pPr>
        <w:pStyle w:val="TOC2"/>
        <w:rPr>
          <w:rFonts w:asciiTheme="minorHAnsi" w:eastAsiaTheme="minorEastAsia" w:hAnsiTheme="minorHAnsi" w:cstheme="minorBidi"/>
          <w:sz w:val="22"/>
          <w:szCs w:val="22"/>
          <w:lang w:eastAsia="en-NZ"/>
        </w:rPr>
      </w:pPr>
      <w:r>
        <w:t>6.2</w:t>
      </w:r>
      <w:r>
        <w:rPr>
          <w:rFonts w:asciiTheme="minorHAnsi" w:eastAsiaTheme="minorEastAsia" w:hAnsiTheme="minorHAnsi" w:cstheme="minorBidi"/>
          <w:sz w:val="22"/>
          <w:szCs w:val="22"/>
          <w:lang w:eastAsia="en-NZ"/>
        </w:rPr>
        <w:tab/>
      </w:r>
      <w:r>
        <w:t>Option 2</w:t>
      </w:r>
      <w:r>
        <w:tab/>
      </w:r>
      <w:r>
        <w:fldChar w:fldCharType="begin"/>
      </w:r>
      <w:r>
        <w:instrText xml:space="preserve"> PAGEREF _Toc453052973 \h </w:instrText>
      </w:r>
      <w:r>
        <w:fldChar w:fldCharType="separate"/>
      </w:r>
      <w:r>
        <w:t>8</w:t>
      </w:r>
      <w:r>
        <w:fldChar w:fldCharType="end"/>
      </w:r>
    </w:p>
    <w:p w14:paraId="69BF276B" w14:textId="77777777" w:rsidR="00FE7047" w:rsidRDefault="00FE7047">
      <w:pPr>
        <w:pStyle w:val="TOC2"/>
        <w:rPr>
          <w:rFonts w:asciiTheme="minorHAnsi" w:eastAsiaTheme="minorEastAsia" w:hAnsiTheme="minorHAnsi" w:cstheme="minorBidi"/>
          <w:sz w:val="22"/>
          <w:szCs w:val="22"/>
          <w:lang w:eastAsia="en-NZ"/>
        </w:rPr>
      </w:pPr>
      <w:r>
        <w:t>6.3</w:t>
      </w:r>
      <w:r>
        <w:rPr>
          <w:rFonts w:asciiTheme="minorHAnsi" w:eastAsiaTheme="minorEastAsia" w:hAnsiTheme="minorHAnsi" w:cstheme="minorBidi"/>
          <w:sz w:val="22"/>
          <w:szCs w:val="22"/>
          <w:lang w:eastAsia="en-NZ"/>
        </w:rPr>
        <w:tab/>
      </w:r>
      <w:r>
        <w:t>Option 3</w:t>
      </w:r>
      <w:r>
        <w:tab/>
      </w:r>
      <w:r>
        <w:fldChar w:fldCharType="begin"/>
      </w:r>
      <w:r>
        <w:instrText xml:space="preserve"> PAGEREF _Toc453052974 \h </w:instrText>
      </w:r>
      <w:r>
        <w:fldChar w:fldCharType="separate"/>
      </w:r>
      <w:r>
        <w:t>8</w:t>
      </w:r>
      <w:r>
        <w:fldChar w:fldCharType="end"/>
      </w:r>
    </w:p>
    <w:p w14:paraId="655819EC" w14:textId="77777777" w:rsidR="00FE7047" w:rsidRDefault="00FE7047">
      <w:pPr>
        <w:pStyle w:val="TOC1"/>
        <w:rPr>
          <w:rFonts w:asciiTheme="minorHAnsi" w:eastAsiaTheme="minorEastAsia" w:hAnsiTheme="minorHAnsi" w:cstheme="minorBidi"/>
          <w:b w:val="0"/>
          <w:sz w:val="22"/>
          <w:szCs w:val="22"/>
          <w:lang w:eastAsia="en-NZ"/>
        </w:rPr>
      </w:pPr>
      <w:r>
        <w:t>7</w:t>
      </w:r>
      <w:r>
        <w:rPr>
          <w:rFonts w:asciiTheme="minorHAnsi" w:eastAsiaTheme="minorEastAsia" w:hAnsiTheme="minorHAnsi" w:cstheme="minorBidi"/>
          <w:b w:val="0"/>
          <w:sz w:val="22"/>
          <w:szCs w:val="22"/>
          <w:lang w:eastAsia="en-NZ"/>
        </w:rPr>
        <w:tab/>
      </w:r>
      <w:r>
        <w:t>Other Matters</w:t>
      </w:r>
      <w:r>
        <w:tab/>
      </w:r>
      <w:r>
        <w:fldChar w:fldCharType="begin"/>
      </w:r>
      <w:r>
        <w:instrText xml:space="preserve"> PAGEREF _Toc453052975 \h </w:instrText>
      </w:r>
      <w:r>
        <w:fldChar w:fldCharType="separate"/>
      </w:r>
      <w:r>
        <w:t>8</w:t>
      </w:r>
      <w:r>
        <w:fldChar w:fldCharType="end"/>
      </w:r>
    </w:p>
    <w:p w14:paraId="7FE75BB5" w14:textId="77777777" w:rsidR="00FE7047" w:rsidRDefault="00FE7047">
      <w:pPr>
        <w:pStyle w:val="TOC2"/>
        <w:rPr>
          <w:rFonts w:asciiTheme="minorHAnsi" w:eastAsiaTheme="minorEastAsia" w:hAnsiTheme="minorHAnsi" w:cstheme="minorBidi"/>
          <w:sz w:val="22"/>
          <w:szCs w:val="22"/>
          <w:lang w:eastAsia="en-NZ"/>
        </w:rPr>
      </w:pPr>
      <w:r>
        <w:t>7.1</w:t>
      </w:r>
      <w:r>
        <w:rPr>
          <w:rFonts w:asciiTheme="minorHAnsi" w:eastAsiaTheme="minorEastAsia" w:hAnsiTheme="minorHAnsi" w:cstheme="minorBidi"/>
          <w:sz w:val="22"/>
          <w:szCs w:val="22"/>
          <w:lang w:eastAsia="en-NZ"/>
        </w:rPr>
        <w:tab/>
      </w:r>
      <w:r>
        <w:t>Deemed value rates</w:t>
      </w:r>
      <w:r>
        <w:tab/>
      </w:r>
      <w:r>
        <w:fldChar w:fldCharType="begin"/>
      </w:r>
      <w:r>
        <w:instrText xml:space="preserve"> PAGEREF _Toc453052976 \h </w:instrText>
      </w:r>
      <w:r>
        <w:fldChar w:fldCharType="separate"/>
      </w:r>
      <w:r>
        <w:t>8</w:t>
      </w:r>
      <w:r>
        <w:fldChar w:fldCharType="end"/>
      </w:r>
    </w:p>
    <w:p w14:paraId="69B61AF3" w14:textId="77777777" w:rsidR="00FE7047" w:rsidRDefault="00FE7047">
      <w:pPr>
        <w:pStyle w:val="TOC1"/>
        <w:rPr>
          <w:rFonts w:asciiTheme="minorHAnsi" w:eastAsiaTheme="minorEastAsia" w:hAnsiTheme="minorHAnsi" w:cstheme="minorBidi"/>
          <w:b w:val="0"/>
          <w:sz w:val="22"/>
          <w:szCs w:val="22"/>
          <w:lang w:eastAsia="en-NZ"/>
        </w:rPr>
      </w:pPr>
      <w:r>
        <w:t>8</w:t>
      </w:r>
      <w:r>
        <w:rPr>
          <w:rFonts w:asciiTheme="minorHAnsi" w:eastAsiaTheme="minorEastAsia" w:hAnsiTheme="minorHAnsi" w:cstheme="minorBidi"/>
          <w:b w:val="0"/>
          <w:sz w:val="22"/>
          <w:szCs w:val="22"/>
          <w:lang w:eastAsia="en-NZ"/>
        </w:rPr>
        <w:tab/>
      </w:r>
      <w:r>
        <w:t>Conclusion</w:t>
      </w:r>
      <w:r>
        <w:tab/>
      </w:r>
      <w:r>
        <w:fldChar w:fldCharType="begin"/>
      </w:r>
      <w:r>
        <w:instrText xml:space="preserve"> PAGEREF _Toc453052977 \h </w:instrText>
      </w:r>
      <w:r>
        <w:fldChar w:fldCharType="separate"/>
      </w:r>
      <w:r>
        <w:t>9</w:t>
      </w:r>
      <w:r>
        <w:fldChar w:fldCharType="end"/>
      </w:r>
    </w:p>
    <w:p w14:paraId="5B622BAE" w14:textId="38E2A04A" w:rsidR="00471C3D" w:rsidRPr="00CB060A" w:rsidRDefault="00FE7047" w:rsidP="008C0F11">
      <w:pPr>
        <w:pStyle w:val="TOC1"/>
        <w:spacing w:before="120" w:after="120"/>
        <w:rPr>
          <w:color w:val="0070C0"/>
        </w:rPr>
      </w:pPr>
      <w:r>
        <w:fldChar w:fldCharType="end"/>
      </w:r>
    </w:p>
    <w:p w14:paraId="603288AD" w14:textId="77777777" w:rsidR="00786686" w:rsidRDefault="00786686">
      <w:pPr>
        <w:pStyle w:val="TOC1"/>
        <w:sectPr w:rsidR="00786686">
          <w:headerReference w:type="default" r:id="rId19"/>
          <w:footerReference w:type="even" r:id="rId20"/>
          <w:footerReference w:type="default" r:id="rId21"/>
          <w:footerReference w:type="first" r:id="rId22"/>
          <w:type w:val="oddPage"/>
          <w:pgSz w:w="11907" w:h="16840" w:code="9"/>
          <w:pgMar w:top="1134" w:right="1418" w:bottom="1134" w:left="1418" w:header="720" w:footer="720" w:gutter="0"/>
          <w:pgNumType w:fmt="lowerRoman" w:start="1"/>
          <w:cols w:space="720" w:equalWidth="0">
            <w:col w:w="9049"/>
          </w:cols>
        </w:sectPr>
      </w:pPr>
      <w:r>
        <w:t xml:space="preserve"> </w:t>
      </w:r>
      <w:r>
        <w:fldChar w:fldCharType="begin"/>
      </w:r>
      <w:r>
        <w:instrText xml:space="preserve">  </w:instrText>
      </w:r>
      <w:r>
        <w:fldChar w:fldCharType="end"/>
      </w:r>
    </w:p>
    <w:p w14:paraId="0DB24638" w14:textId="1B2772F5" w:rsidR="00015376" w:rsidRDefault="00015376" w:rsidP="00015376">
      <w:pPr>
        <w:pStyle w:val="Heading1"/>
        <w:numPr>
          <w:ilvl w:val="0"/>
          <w:numId w:val="38"/>
        </w:numPr>
      </w:pPr>
      <w:bookmarkStart w:id="1" w:name="_Toc453052957"/>
      <w:bookmarkStart w:id="2" w:name="_Toc399138960"/>
      <w:r>
        <w:lastRenderedPageBreak/>
        <w:t>Submission Information</w:t>
      </w:r>
      <w:bookmarkEnd w:id="1"/>
    </w:p>
    <w:p w14:paraId="0B3C7F01" w14:textId="1C7A2203" w:rsidR="009303F7" w:rsidRDefault="00015376" w:rsidP="00015376">
      <w:r>
        <w:t xml:space="preserve">MPI welcomes written </w:t>
      </w:r>
      <w:r w:rsidR="0050492A">
        <w:t>submissions on the</w:t>
      </w:r>
      <w:r w:rsidR="009303F7">
        <w:t xml:space="preserve"> proposals contained in the Consultation Document. All written submissions must be receiv</w:t>
      </w:r>
      <w:r w:rsidR="00CB060A">
        <w:t xml:space="preserve">ed by MPI no later than 5pm on </w:t>
      </w:r>
      <w:r w:rsidR="00FE7047">
        <w:t>Monday 11 July</w:t>
      </w:r>
      <w:r w:rsidR="00CB060A">
        <w:t xml:space="preserve"> 2016</w:t>
      </w:r>
      <w:r w:rsidR="009303F7">
        <w:t>.</w:t>
      </w:r>
    </w:p>
    <w:p w14:paraId="2AE106BB" w14:textId="77777777" w:rsidR="009303F7" w:rsidRDefault="009303F7" w:rsidP="00015376"/>
    <w:p w14:paraId="15CC04B6" w14:textId="77777777" w:rsidR="009303F7" w:rsidRDefault="009303F7" w:rsidP="00015376">
      <w:r>
        <w:t>Written submissions should be sent directly to:</w:t>
      </w:r>
    </w:p>
    <w:p w14:paraId="4EDD6640" w14:textId="77777777" w:rsidR="009303F7" w:rsidRDefault="009303F7" w:rsidP="009303F7">
      <w:pPr>
        <w:ind w:firstLine="720"/>
      </w:pPr>
      <w:r>
        <w:t>Deepwater Fisheries Management</w:t>
      </w:r>
    </w:p>
    <w:p w14:paraId="1EA87E91" w14:textId="77777777" w:rsidR="009303F7" w:rsidRDefault="009303F7" w:rsidP="009303F7">
      <w:pPr>
        <w:ind w:firstLine="720"/>
      </w:pPr>
      <w:r>
        <w:t>Ministry for Primary Industries</w:t>
      </w:r>
    </w:p>
    <w:p w14:paraId="410C47EF" w14:textId="77777777" w:rsidR="009303F7" w:rsidRDefault="009303F7" w:rsidP="009303F7">
      <w:pPr>
        <w:ind w:firstLine="720"/>
      </w:pPr>
      <w:r>
        <w:t>P O Box 2526</w:t>
      </w:r>
    </w:p>
    <w:p w14:paraId="0F306BB3" w14:textId="77777777" w:rsidR="009303F7" w:rsidRDefault="009303F7" w:rsidP="009303F7">
      <w:pPr>
        <w:ind w:firstLine="720"/>
      </w:pPr>
      <w:r>
        <w:t>Wellington 6011</w:t>
      </w:r>
    </w:p>
    <w:p w14:paraId="4FA07DA1" w14:textId="77777777" w:rsidR="009303F7" w:rsidRDefault="009303F7" w:rsidP="009303F7"/>
    <w:p w14:paraId="5B006DE4" w14:textId="77777777" w:rsidR="009303F7" w:rsidRDefault="009303F7" w:rsidP="009303F7">
      <w:r>
        <w:t xml:space="preserve">or emailed to </w:t>
      </w:r>
      <w:hyperlink r:id="rId23" w:history="1">
        <w:r w:rsidRPr="00EF3BB0">
          <w:rPr>
            <w:rStyle w:val="Hyperlink"/>
          </w:rPr>
          <w:t>FMsubmissions@mpi.govt.nz</w:t>
        </w:r>
      </w:hyperlink>
    </w:p>
    <w:p w14:paraId="3A84ACF4" w14:textId="77777777" w:rsidR="009303F7" w:rsidRDefault="009303F7" w:rsidP="009303F7"/>
    <w:p w14:paraId="0EEBE06A" w14:textId="4A3552A1" w:rsidR="009303F7" w:rsidRDefault="004348A5" w:rsidP="009303F7">
      <w:pPr>
        <w:pStyle w:val="Heading2"/>
      </w:pPr>
      <w:bookmarkStart w:id="3" w:name="_Toc453052958"/>
      <w:r>
        <w:t>Official Information Act</w:t>
      </w:r>
      <w:r w:rsidR="009303F7">
        <w:t xml:space="preserve"> 1982</w:t>
      </w:r>
      <w:bookmarkEnd w:id="3"/>
    </w:p>
    <w:p w14:paraId="0A0CF8D6" w14:textId="77777777" w:rsidR="009303F7" w:rsidRDefault="009303F7" w:rsidP="009303F7">
      <w:pPr>
        <w:rPr>
          <w:szCs w:val="24"/>
        </w:rPr>
      </w:pPr>
      <w:r>
        <w:t xml:space="preserve">All submissions are subject to the Official Information Act and can be released (along with </w:t>
      </w:r>
      <w:r>
        <w:rPr>
          <w:szCs w:val="24"/>
        </w:rPr>
        <w:t>personal details</w:t>
      </w:r>
      <w:r w:rsidRPr="00A061F7">
        <w:rPr>
          <w:szCs w:val="24"/>
        </w:rPr>
        <w:t xml:space="preserve"> of the submitter) under the Act. If you have specific reasons for wanting to have your submission or </w:t>
      </w:r>
      <w:r>
        <w:rPr>
          <w:szCs w:val="24"/>
        </w:rPr>
        <w:t>personal details</w:t>
      </w:r>
      <w:r w:rsidRPr="00A061F7">
        <w:rPr>
          <w:szCs w:val="24"/>
        </w:rPr>
        <w:t xml:space="preserve"> withheld, please set out your reasons in the submission. MPI will consider those reasons when making any assessment for the release of submissions if requested under the Official Information Act. </w:t>
      </w:r>
    </w:p>
    <w:p w14:paraId="459545D7" w14:textId="45E7FB28" w:rsidR="008C0F11" w:rsidRDefault="008C0F11">
      <w:pPr>
        <w:rPr>
          <w:szCs w:val="24"/>
        </w:rPr>
      </w:pPr>
      <w:r>
        <w:rPr>
          <w:szCs w:val="24"/>
        </w:rPr>
        <w:br w:type="page"/>
      </w:r>
    </w:p>
    <w:p w14:paraId="6F9B07E4" w14:textId="3F76C737" w:rsidR="008C0F11" w:rsidRDefault="00A43C12" w:rsidP="00D42C04">
      <w:pPr>
        <w:jc w:val="center"/>
        <w:rPr>
          <w:szCs w:val="24"/>
        </w:rPr>
      </w:pPr>
      <w:r w:rsidRPr="00A43C12">
        <w:rPr>
          <w:noProof/>
          <w:szCs w:val="24"/>
          <w:lang w:eastAsia="en-NZ"/>
        </w:rPr>
        <w:lastRenderedPageBreak/>
        <w:drawing>
          <wp:inline distT="0" distB="0" distL="0" distR="0" wp14:anchorId="0A008E32" wp14:editId="267D48C8">
            <wp:extent cx="4050399" cy="3385967"/>
            <wp:effectExtent l="19050" t="19050" r="26670" b="24130"/>
            <wp:docPr id="2" name="Picture 2" descr="M:\DeepWater\01 Fish Stock Management\Holding Folder 1 Oct Sustainability 2016\QMA maps\RBY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DeepWater\01 Fish Stock Management\Holding Folder 1 Oct Sustainability 2016\QMA maps\RBY3.jpg"/>
                    <pic:cNvPicPr>
                      <a:picLocks noChangeAspect="1" noChangeArrowheads="1"/>
                    </pic:cNvPicPr>
                  </pic:nvPicPr>
                  <pic:blipFill rotWithShape="1">
                    <a:blip r:embed="rId24" cstate="print">
                      <a:extLst>
                        <a:ext uri="{28A0092B-C50C-407E-A947-70E740481C1C}">
                          <a14:useLocalDpi xmlns:a14="http://schemas.microsoft.com/office/drawing/2010/main" val="0"/>
                        </a:ext>
                      </a:extLst>
                    </a:blip>
                    <a:srcRect l="2585" r="27077"/>
                    <a:stretch/>
                  </pic:blipFill>
                  <pic:spPr bwMode="auto">
                    <a:xfrm>
                      <a:off x="0" y="0"/>
                      <a:ext cx="4051105" cy="3386557"/>
                    </a:xfrm>
                    <a:prstGeom prst="rect">
                      <a:avLst/>
                    </a:prstGeom>
                    <a:noFill/>
                    <a:ln>
                      <a:solidFill>
                        <a:schemeClr val="tx1"/>
                      </a:solidFill>
                    </a:ln>
                    <a:extLst>
                      <a:ext uri="{53640926-AAD7-44D8-BBD7-CCE9431645EC}">
                        <a14:shadowObscured xmlns:a14="http://schemas.microsoft.com/office/drawing/2010/main"/>
                      </a:ext>
                    </a:extLst>
                  </pic:spPr>
                </pic:pic>
              </a:graphicData>
            </a:graphic>
          </wp:inline>
        </w:drawing>
      </w:r>
    </w:p>
    <w:p w14:paraId="76C55BE9" w14:textId="77777777" w:rsidR="00C4503E" w:rsidRDefault="00C4503E" w:rsidP="00C4503E">
      <w:pPr>
        <w:rPr>
          <w:b/>
          <w:sz w:val="22"/>
          <w:szCs w:val="22"/>
        </w:rPr>
      </w:pPr>
    </w:p>
    <w:p w14:paraId="0D32F3F3" w14:textId="31187479" w:rsidR="00C4503E" w:rsidRPr="00C4503E" w:rsidRDefault="0010360C" w:rsidP="00C4503E">
      <w:pPr>
        <w:rPr>
          <w:rFonts w:ascii="Arial Narrow" w:hAnsi="Arial Narrow"/>
          <w:b/>
          <w:szCs w:val="24"/>
        </w:rPr>
      </w:pPr>
      <w:r>
        <w:rPr>
          <w:rFonts w:ascii="Arial Narrow" w:hAnsi="Arial Narrow"/>
          <w:b/>
          <w:szCs w:val="24"/>
        </w:rPr>
        <w:t>Figure 1. Quota management area (QMA</w:t>
      </w:r>
      <w:r w:rsidR="00C4503E" w:rsidRPr="0010360C">
        <w:rPr>
          <w:rFonts w:ascii="Arial Narrow" w:hAnsi="Arial Narrow"/>
          <w:b/>
          <w:szCs w:val="24"/>
        </w:rPr>
        <w:t xml:space="preserve">) for </w:t>
      </w:r>
      <w:r w:rsidR="00C71FB1" w:rsidRPr="0010360C">
        <w:rPr>
          <w:rFonts w:ascii="Arial Narrow" w:hAnsi="Arial Narrow"/>
          <w:b/>
          <w:szCs w:val="24"/>
        </w:rPr>
        <w:t>RBY 3</w:t>
      </w:r>
      <w:r w:rsidR="00C4503E" w:rsidRPr="00C4503E">
        <w:rPr>
          <w:rFonts w:ascii="Arial Narrow" w:hAnsi="Arial Narrow"/>
          <w:b/>
          <w:szCs w:val="24"/>
        </w:rPr>
        <w:t xml:space="preserve"> </w:t>
      </w:r>
    </w:p>
    <w:p w14:paraId="78D8B602" w14:textId="5A61B0B5" w:rsidR="008C0F11" w:rsidRDefault="008C0F11" w:rsidP="009303F7">
      <w:pPr>
        <w:rPr>
          <w:szCs w:val="24"/>
        </w:rPr>
      </w:pPr>
    </w:p>
    <w:p w14:paraId="2EB2D14E" w14:textId="45400F3C" w:rsidR="00471C3D" w:rsidRDefault="00471C3D" w:rsidP="009303F7">
      <w:pPr>
        <w:pStyle w:val="Heading1"/>
      </w:pPr>
      <w:bookmarkStart w:id="4" w:name="_Toc453052959"/>
      <w:r>
        <w:t>Executive Summary</w:t>
      </w:r>
      <w:bookmarkEnd w:id="2"/>
      <w:bookmarkEnd w:id="4"/>
    </w:p>
    <w:p w14:paraId="0FF453BA" w14:textId="6EFAE246" w:rsidR="006029C3" w:rsidRDefault="006029C3" w:rsidP="00471C3D">
      <w:r>
        <w:t>T</w:t>
      </w:r>
      <w:r w:rsidR="00015376">
        <w:t xml:space="preserve">he </w:t>
      </w:r>
      <w:r w:rsidR="002A6A6A">
        <w:t>Ministry for Primary Industries (MPI</w:t>
      </w:r>
      <w:r w:rsidR="00015376">
        <w:t xml:space="preserve">) </w:t>
      </w:r>
      <w:r>
        <w:t>is seeking information and views from tangata whenua and stakeholders to inform a review of</w:t>
      </w:r>
      <w:r w:rsidR="00015376">
        <w:t xml:space="preserve"> catch limits and allowances for the </w:t>
      </w:r>
      <w:r w:rsidR="00BF7C7F">
        <w:t>rubyfish</w:t>
      </w:r>
      <w:r>
        <w:t xml:space="preserve"> </w:t>
      </w:r>
      <w:r w:rsidR="00117C2B">
        <w:t>(</w:t>
      </w:r>
      <w:r w:rsidR="00117C2B" w:rsidRPr="00117C2B">
        <w:rPr>
          <w:i/>
        </w:rPr>
        <w:t>Plagiogeneion rubiginosu</w:t>
      </w:r>
      <w:r w:rsidR="002855DC">
        <w:rPr>
          <w:i/>
        </w:rPr>
        <w:t>m</w:t>
      </w:r>
      <w:r w:rsidR="00117C2B">
        <w:t xml:space="preserve">) </w:t>
      </w:r>
      <w:r>
        <w:t>stock</w:t>
      </w:r>
      <w:r w:rsidR="00C4503E">
        <w:t>s</w:t>
      </w:r>
      <w:r>
        <w:t xml:space="preserve"> </w:t>
      </w:r>
      <w:r w:rsidR="003700E9">
        <w:t>in fishery</w:t>
      </w:r>
      <w:r w:rsidR="00BF7C7F">
        <w:t xml:space="preserve"> management area 3</w:t>
      </w:r>
      <w:r w:rsidR="00DA3D73">
        <w:t xml:space="preserve"> </w:t>
      </w:r>
      <w:r>
        <w:t>(</w:t>
      </w:r>
      <w:r w:rsidR="00C71FB1">
        <w:t>RBY 3</w:t>
      </w:r>
      <w:r w:rsidR="00DC1C6A">
        <w:t>; Figure 1</w:t>
      </w:r>
      <w:r>
        <w:t>)</w:t>
      </w:r>
      <w:r w:rsidR="00015376">
        <w:t>.</w:t>
      </w:r>
    </w:p>
    <w:p w14:paraId="2B3CCA28" w14:textId="77777777" w:rsidR="006029C3" w:rsidRDefault="006029C3" w:rsidP="00471C3D"/>
    <w:p w14:paraId="5624343A" w14:textId="6412607F" w:rsidR="00015376" w:rsidRDefault="00117C2B" w:rsidP="00471C3D">
      <w:r>
        <w:t>Rubyfish stocks were introduced into the quota management</w:t>
      </w:r>
      <w:r w:rsidR="00DA3D73">
        <w:t xml:space="preserve"> system (QMS) on 1 October 1998. </w:t>
      </w:r>
      <w:r w:rsidR="00C4503E">
        <w:t xml:space="preserve">The total allowable catch (TAC) and a total allowable commercial catch (TACC) for the </w:t>
      </w:r>
      <w:r w:rsidR="00C71FB1">
        <w:t>RBY 3</w:t>
      </w:r>
      <w:r w:rsidR="00C4503E">
        <w:t xml:space="preserve"> </w:t>
      </w:r>
      <w:r w:rsidR="007545D0">
        <w:t>stock</w:t>
      </w:r>
      <w:r w:rsidR="00C4503E">
        <w:t xml:space="preserve"> were initially</w:t>
      </w:r>
      <w:r w:rsidR="00C97BB7">
        <w:t xml:space="preserve"> conservatively</w:t>
      </w:r>
      <w:r w:rsidR="00C4503E">
        <w:t xml:space="preserve"> set at three tonnes. </w:t>
      </w:r>
      <w:r>
        <w:t>The</w:t>
      </w:r>
      <w:r w:rsidR="00C4503E">
        <w:t>se</w:t>
      </w:r>
      <w:r>
        <w:t xml:space="preserve"> </w:t>
      </w:r>
      <w:r w:rsidR="00DA3D73">
        <w:t>initial catch li</w:t>
      </w:r>
      <w:r>
        <w:t>mit</w:t>
      </w:r>
      <w:r w:rsidR="00DA3D73">
        <w:t>s were</w:t>
      </w:r>
      <w:r>
        <w:t xml:space="preserve"> </w:t>
      </w:r>
      <w:r w:rsidR="003700E9">
        <w:t>determined</w:t>
      </w:r>
      <w:r w:rsidR="002A28D1">
        <w:t xml:space="preserve"> by</w:t>
      </w:r>
      <w:r>
        <w:t xml:space="preserve"> adding 10% to the average annual catch reported </w:t>
      </w:r>
      <w:r w:rsidR="003700E9">
        <w:t xml:space="preserve">for the seven fishing years </w:t>
      </w:r>
      <w:r>
        <w:t>between 199</w:t>
      </w:r>
      <w:r w:rsidR="003700E9">
        <w:t>0</w:t>
      </w:r>
      <w:r>
        <w:t>/9</w:t>
      </w:r>
      <w:r w:rsidR="003700E9">
        <w:t>1</w:t>
      </w:r>
      <w:r>
        <w:t xml:space="preserve"> and 1996/</w:t>
      </w:r>
      <w:r w:rsidR="003700E9">
        <w:t>97</w:t>
      </w:r>
      <w:r>
        <w:t>.</w:t>
      </w:r>
    </w:p>
    <w:p w14:paraId="45F46ACA" w14:textId="77777777" w:rsidR="006029C3" w:rsidRDefault="006029C3" w:rsidP="00471C3D"/>
    <w:p w14:paraId="0C3900D8" w14:textId="08755265" w:rsidR="00C80D52" w:rsidRDefault="00DA3D73" w:rsidP="00471C3D">
      <w:r>
        <w:t xml:space="preserve">The </w:t>
      </w:r>
      <w:r w:rsidR="00C71FB1">
        <w:t>RBY 3</w:t>
      </w:r>
      <w:r>
        <w:t xml:space="preserve"> TACC has remained unchanged </w:t>
      </w:r>
      <w:r w:rsidR="003700E9">
        <w:t xml:space="preserve">at three tonnes </w:t>
      </w:r>
      <w:r>
        <w:t>since the stock was introduced into the QMS</w:t>
      </w:r>
      <w:r w:rsidR="00960323">
        <w:t xml:space="preserve"> with a nominal TACC</w:t>
      </w:r>
      <w:r>
        <w:t xml:space="preserve">. </w:t>
      </w:r>
      <w:r w:rsidR="00C80D52">
        <w:t xml:space="preserve">Between 1998/99 and 2013/14 the average annual catch from </w:t>
      </w:r>
      <w:r w:rsidR="00C4503E">
        <w:t>this stock</w:t>
      </w:r>
      <w:r w:rsidR="00C80D52">
        <w:t xml:space="preserve"> was 1.1 tonnes. In 2014/15 however, reported catch was 14.3 tonnes and as at April 2016, </w:t>
      </w:r>
      <w:r w:rsidR="00C4503E">
        <w:t xml:space="preserve">catch for the </w:t>
      </w:r>
      <w:r w:rsidR="00C80D52">
        <w:t xml:space="preserve">2015/16 </w:t>
      </w:r>
      <w:r w:rsidR="00C4503E">
        <w:t xml:space="preserve">fishing year </w:t>
      </w:r>
      <w:r>
        <w:t>wa</w:t>
      </w:r>
      <w:r w:rsidR="00C80D52">
        <w:t>s 29 tonnes.</w:t>
      </w:r>
      <w:r w:rsidR="005F7B4F">
        <w:t xml:space="preserve"> This is likely due to increased fishing effort for related species such as redbait in RBT 3 increasing the amount of rubyfish caught as bycatch.</w:t>
      </w:r>
    </w:p>
    <w:p w14:paraId="5457E6D4" w14:textId="1411544D" w:rsidR="00C743B6" w:rsidRDefault="00C743B6" w:rsidP="00471C3D"/>
    <w:p w14:paraId="529454A0" w14:textId="14F2691C" w:rsidR="00C743B6" w:rsidRDefault="00C71FB1" w:rsidP="00471C3D">
      <w:r>
        <w:t>RBY 3</w:t>
      </w:r>
      <w:r w:rsidR="00C4503E">
        <w:t xml:space="preserve"> </w:t>
      </w:r>
      <w:r w:rsidR="007545D0">
        <w:t xml:space="preserve">is a </w:t>
      </w:r>
      <w:r w:rsidR="00C80D52">
        <w:t xml:space="preserve">low knowledge stock with little or no information with which to reliably estimate stock status. MPI proposes </w:t>
      </w:r>
      <w:r w:rsidR="00C97BB7">
        <w:t>a small</w:t>
      </w:r>
      <w:r w:rsidR="00C80D52">
        <w:t xml:space="preserve"> increase the TAC</w:t>
      </w:r>
      <w:r w:rsidR="00937E0F">
        <w:t>s</w:t>
      </w:r>
      <w:r w:rsidR="00C97BB7">
        <w:t xml:space="preserve"> and TACCs</w:t>
      </w:r>
      <w:r w:rsidR="00C80D52">
        <w:t xml:space="preserve"> for </w:t>
      </w:r>
      <w:r w:rsidR="001B1981">
        <w:t xml:space="preserve">the </w:t>
      </w:r>
      <w:r w:rsidR="00C80D52">
        <w:t xml:space="preserve">stock </w:t>
      </w:r>
      <w:r w:rsidR="00937E0F">
        <w:t>as</w:t>
      </w:r>
      <w:r w:rsidR="00C80D52">
        <w:t xml:space="preserve"> set out in Table 1 below. </w:t>
      </w:r>
      <w:r w:rsidR="00C97BB7">
        <w:t>MPI considers that because the proposed catch limits will remain at relatively low levels and are u</w:t>
      </w:r>
      <w:r w:rsidR="00C80D52">
        <w:t>nlikely to cause a sustainability risk</w:t>
      </w:r>
      <w:r w:rsidR="00C97BB7">
        <w:t>, setting the TAC at the</w:t>
      </w:r>
      <w:r w:rsidR="00ED1A9F">
        <w:t xml:space="preserve"> levels</w:t>
      </w:r>
      <w:r w:rsidR="00C97BB7">
        <w:t xml:space="preserve"> proposed is</w:t>
      </w:r>
      <w:r w:rsidR="00ED1A9F">
        <w:t xml:space="preserve"> not inconsistent with the objective of maintaining the stocks at or above the levels that produce </w:t>
      </w:r>
      <w:r w:rsidR="00C97BB7">
        <w:t>maximum sustainable yield (</w:t>
      </w:r>
      <w:r w:rsidR="00ED1A9F">
        <w:t>MSY</w:t>
      </w:r>
      <w:r w:rsidR="00C97BB7">
        <w:t>)</w:t>
      </w:r>
      <w:r w:rsidR="00ED1A9F">
        <w:t xml:space="preserve">. </w:t>
      </w:r>
    </w:p>
    <w:p w14:paraId="2FF7DDEE" w14:textId="77777777" w:rsidR="00000C9E" w:rsidRPr="00C80D52" w:rsidRDefault="00000C9E" w:rsidP="00471C3D"/>
    <w:p w14:paraId="1F7F5EDC" w14:textId="4CCE5F00" w:rsidR="00A84C22" w:rsidRDefault="00A84C22" w:rsidP="00471C3D">
      <w:r>
        <w:t xml:space="preserve">Table 1 sets out MPI’s initial proposals for catch limits and allowances for </w:t>
      </w:r>
      <w:r w:rsidR="00C71FB1">
        <w:t>RBY 3</w:t>
      </w:r>
      <w:r>
        <w:t>.</w:t>
      </w:r>
    </w:p>
    <w:p w14:paraId="7466E480" w14:textId="77777777" w:rsidR="00A84C22" w:rsidRDefault="00A84C22" w:rsidP="00471C3D"/>
    <w:p w14:paraId="59EC3EF3" w14:textId="77777777" w:rsidR="007545D0" w:rsidRDefault="007545D0" w:rsidP="00471C3D"/>
    <w:p w14:paraId="5737E085" w14:textId="77777777" w:rsidR="007545D0" w:rsidRDefault="007545D0" w:rsidP="00471C3D"/>
    <w:p w14:paraId="15AD42E8" w14:textId="77777777" w:rsidR="007545D0" w:rsidRDefault="007545D0" w:rsidP="00471C3D"/>
    <w:p w14:paraId="32EC8A09" w14:textId="77777777" w:rsidR="007545D0" w:rsidRDefault="007545D0" w:rsidP="00471C3D"/>
    <w:p w14:paraId="3778473F" w14:textId="77777777" w:rsidR="007545D0" w:rsidRDefault="007545D0" w:rsidP="00471C3D"/>
    <w:p w14:paraId="2A5906C0" w14:textId="0288ECAC" w:rsidR="00A84C22" w:rsidRPr="001D3887" w:rsidRDefault="00A84C22" w:rsidP="00471C3D">
      <w:pPr>
        <w:rPr>
          <w:rFonts w:ascii="Arial Narrow" w:hAnsi="Arial Narrow"/>
          <w:b/>
          <w:szCs w:val="24"/>
        </w:rPr>
      </w:pPr>
      <w:r w:rsidRPr="001D3887">
        <w:rPr>
          <w:rFonts w:ascii="Arial Narrow" w:hAnsi="Arial Narrow"/>
          <w:b/>
          <w:szCs w:val="24"/>
        </w:rPr>
        <w:t xml:space="preserve">Table 1. Proposed TACs, TACCs and allowances for </w:t>
      </w:r>
      <w:r w:rsidR="00C71FB1">
        <w:rPr>
          <w:rFonts w:ascii="Arial Narrow" w:hAnsi="Arial Narrow"/>
          <w:b/>
          <w:szCs w:val="24"/>
        </w:rPr>
        <w:t>RBY 3</w:t>
      </w:r>
      <w:r w:rsidR="00562401">
        <w:rPr>
          <w:rFonts w:ascii="Arial Narrow" w:hAnsi="Arial Narrow"/>
          <w:b/>
          <w:szCs w:val="24"/>
        </w:rPr>
        <w:t xml:space="preserve"> </w:t>
      </w:r>
      <w:r w:rsidR="00264235">
        <w:rPr>
          <w:rFonts w:ascii="Arial Narrow" w:hAnsi="Arial Narrow"/>
          <w:b/>
          <w:szCs w:val="24"/>
        </w:rPr>
        <w:t xml:space="preserve">(all </w:t>
      </w:r>
      <w:r w:rsidR="007545D0">
        <w:rPr>
          <w:rFonts w:ascii="Arial Narrow" w:hAnsi="Arial Narrow"/>
          <w:b/>
          <w:szCs w:val="24"/>
        </w:rPr>
        <w:t>values</w:t>
      </w:r>
      <w:r w:rsidR="00264235">
        <w:rPr>
          <w:rFonts w:ascii="Arial Narrow" w:hAnsi="Arial Narrow"/>
          <w:b/>
          <w:szCs w:val="24"/>
        </w:rPr>
        <w:t xml:space="preserve"> in tonnes)</w:t>
      </w:r>
    </w:p>
    <w:tbl>
      <w:tblPr>
        <w:tblpPr w:leftFromText="180" w:rightFromText="180" w:vertAnchor="text" w:horzAnchor="margin" w:tblpY="96"/>
        <w:tblW w:w="5000" w:type="pct"/>
        <w:tblLook w:val="00A0" w:firstRow="1" w:lastRow="0" w:firstColumn="1" w:lastColumn="0" w:noHBand="0" w:noVBand="0"/>
      </w:tblPr>
      <w:tblGrid>
        <w:gridCol w:w="1843"/>
        <w:gridCol w:w="709"/>
        <w:gridCol w:w="851"/>
        <w:gridCol w:w="1419"/>
        <w:gridCol w:w="1277"/>
        <w:gridCol w:w="2971"/>
      </w:tblGrid>
      <w:tr w:rsidR="007545D0" w:rsidRPr="0029325B" w14:paraId="7EC23DF4" w14:textId="77777777" w:rsidTr="00FE7047">
        <w:trPr>
          <w:trHeight w:val="20"/>
        </w:trPr>
        <w:tc>
          <w:tcPr>
            <w:tcW w:w="1016" w:type="pct"/>
            <w:vMerge w:val="restart"/>
            <w:tcBorders>
              <w:top w:val="single" w:sz="4" w:space="0" w:color="auto"/>
            </w:tcBorders>
            <w:vAlign w:val="center"/>
          </w:tcPr>
          <w:p w14:paraId="3464BE28" w14:textId="774D65BA" w:rsidR="007545D0" w:rsidRPr="0029325B" w:rsidRDefault="007545D0" w:rsidP="00092EFA">
            <w:pPr>
              <w:pStyle w:val="FAPHeadingThree"/>
              <w:jc w:val="left"/>
              <w:rPr>
                <w:rFonts w:ascii="Arial Narrow" w:hAnsi="Arial Narrow" w:cs="Times New Roman"/>
                <w:b/>
                <w:i w:val="0"/>
                <w:sz w:val="20"/>
                <w:szCs w:val="20"/>
                <w:u w:val="none"/>
              </w:rPr>
            </w:pPr>
            <w:r>
              <w:rPr>
                <w:rFonts w:ascii="Arial Narrow" w:hAnsi="Arial Narrow" w:cs="Times New Roman"/>
                <w:b/>
                <w:i w:val="0"/>
                <w:sz w:val="20"/>
                <w:szCs w:val="20"/>
                <w:u w:val="none"/>
              </w:rPr>
              <w:t>Option</w:t>
            </w:r>
          </w:p>
        </w:tc>
        <w:tc>
          <w:tcPr>
            <w:tcW w:w="860" w:type="pct"/>
            <w:gridSpan w:val="2"/>
            <w:tcBorders>
              <w:top w:val="single" w:sz="4" w:space="0" w:color="auto"/>
              <w:right w:val="single" w:sz="4" w:space="0" w:color="auto"/>
            </w:tcBorders>
            <w:vAlign w:val="center"/>
          </w:tcPr>
          <w:p w14:paraId="6BD30FF3" w14:textId="268DB4CD" w:rsidR="007545D0" w:rsidRPr="0029325B" w:rsidRDefault="007545D0" w:rsidP="00092EFA">
            <w:pPr>
              <w:pStyle w:val="FAPHeadingThree"/>
              <w:jc w:val="center"/>
              <w:rPr>
                <w:rFonts w:ascii="Arial Narrow" w:hAnsi="Arial Narrow" w:cs="Times New Roman"/>
                <w:b/>
                <w:i w:val="0"/>
                <w:sz w:val="20"/>
                <w:szCs w:val="20"/>
                <w:u w:val="none"/>
              </w:rPr>
            </w:pPr>
          </w:p>
        </w:tc>
        <w:tc>
          <w:tcPr>
            <w:tcW w:w="3124" w:type="pct"/>
            <w:gridSpan w:val="3"/>
            <w:tcBorders>
              <w:top w:val="single" w:sz="4" w:space="0" w:color="auto"/>
              <w:left w:val="single" w:sz="4" w:space="0" w:color="auto"/>
              <w:bottom w:val="single" w:sz="4" w:space="0" w:color="auto"/>
            </w:tcBorders>
            <w:vAlign w:val="center"/>
          </w:tcPr>
          <w:p w14:paraId="17DFC62C" w14:textId="255DE588" w:rsidR="007545D0" w:rsidRPr="0029325B" w:rsidRDefault="007545D0" w:rsidP="00092EFA">
            <w:pPr>
              <w:pStyle w:val="FAPHeadingThree"/>
              <w:jc w:val="center"/>
              <w:rPr>
                <w:rFonts w:ascii="Arial Narrow" w:hAnsi="Arial Narrow" w:cs="Times New Roman"/>
                <w:b/>
                <w:i w:val="0"/>
                <w:sz w:val="20"/>
                <w:szCs w:val="20"/>
                <w:u w:val="none"/>
              </w:rPr>
            </w:pPr>
            <w:r>
              <w:rPr>
                <w:rFonts w:ascii="Arial Narrow" w:hAnsi="Arial Narrow" w:cs="Times New Roman"/>
                <w:b/>
                <w:i w:val="0"/>
                <w:sz w:val="20"/>
                <w:szCs w:val="20"/>
                <w:u w:val="none"/>
              </w:rPr>
              <w:t>Allowances</w:t>
            </w:r>
          </w:p>
        </w:tc>
      </w:tr>
      <w:tr w:rsidR="007545D0" w:rsidRPr="0029325B" w14:paraId="7FB432A6" w14:textId="77777777" w:rsidTr="00FE7047">
        <w:trPr>
          <w:trHeight w:val="20"/>
        </w:trPr>
        <w:tc>
          <w:tcPr>
            <w:tcW w:w="1016" w:type="pct"/>
            <w:vMerge/>
            <w:tcBorders>
              <w:bottom w:val="single" w:sz="4" w:space="0" w:color="auto"/>
            </w:tcBorders>
            <w:vAlign w:val="center"/>
          </w:tcPr>
          <w:p w14:paraId="7CCFADC7" w14:textId="33DD5467" w:rsidR="007545D0" w:rsidRPr="0029325B" w:rsidRDefault="007545D0" w:rsidP="00092EFA">
            <w:pPr>
              <w:pStyle w:val="FAPHeadingThree"/>
              <w:jc w:val="left"/>
              <w:rPr>
                <w:rFonts w:ascii="Arial Narrow" w:hAnsi="Arial Narrow" w:cs="Times New Roman"/>
                <w:b/>
                <w:i w:val="0"/>
                <w:sz w:val="20"/>
                <w:szCs w:val="20"/>
                <w:u w:val="none"/>
              </w:rPr>
            </w:pPr>
          </w:p>
        </w:tc>
        <w:tc>
          <w:tcPr>
            <w:tcW w:w="391" w:type="pct"/>
            <w:tcBorders>
              <w:bottom w:val="single" w:sz="4" w:space="0" w:color="auto"/>
            </w:tcBorders>
            <w:vAlign w:val="center"/>
          </w:tcPr>
          <w:p w14:paraId="464A9A1D" w14:textId="6D919E53" w:rsidR="007545D0" w:rsidRPr="0029325B" w:rsidRDefault="007545D0" w:rsidP="008D5155">
            <w:pPr>
              <w:pStyle w:val="FAPHeadingThree"/>
              <w:jc w:val="right"/>
              <w:rPr>
                <w:rFonts w:ascii="Arial Narrow" w:hAnsi="Arial Narrow" w:cs="Times New Roman"/>
                <w:b/>
                <w:i w:val="0"/>
                <w:sz w:val="20"/>
                <w:szCs w:val="20"/>
                <w:u w:val="none"/>
              </w:rPr>
            </w:pPr>
            <w:r>
              <w:rPr>
                <w:rFonts w:ascii="Arial Narrow" w:hAnsi="Arial Narrow" w:cs="Times New Roman"/>
                <w:b/>
                <w:i w:val="0"/>
                <w:sz w:val="20"/>
                <w:szCs w:val="20"/>
                <w:u w:val="none"/>
              </w:rPr>
              <w:t xml:space="preserve">TAC </w:t>
            </w:r>
          </w:p>
        </w:tc>
        <w:tc>
          <w:tcPr>
            <w:tcW w:w="469" w:type="pct"/>
            <w:tcBorders>
              <w:bottom w:val="single" w:sz="4" w:space="0" w:color="auto"/>
            </w:tcBorders>
            <w:vAlign w:val="center"/>
          </w:tcPr>
          <w:p w14:paraId="370716E3" w14:textId="25776CDC" w:rsidR="007545D0" w:rsidRPr="0029325B" w:rsidRDefault="007545D0" w:rsidP="00092EFA">
            <w:pPr>
              <w:pStyle w:val="FAPHeadingThree"/>
              <w:jc w:val="right"/>
              <w:rPr>
                <w:rFonts w:ascii="Arial Narrow" w:hAnsi="Arial Narrow" w:cs="Times New Roman"/>
                <w:b/>
                <w:i w:val="0"/>
                <w:sz w:val="20"/>
                <w:szCs w:val="20"/>
                <w:u w:val="none"/>
              </w:rPr>
            </w:pPr>
            <w:r>
              <w:rPr>
                <w:rFonts w:ascii="Arial Narrow" w:hAnsi="Arial Narrow" w:cs="Times New Roman"/>
                <w:b/>
                <w:i w:val="0"/>
                <w:sz w:val="20"/>
                <w:szCs w:val="20"/>
                <w:u w:val="none"/>
              </w:rPr>
              <w:t xml:space="preserve">TACC </w:t>
            </w:r>
          </w:p>
        </w:tc>
        <w:tc>
          <w:tcPr>
            <w:tcW w:w="782" w:type="pct"/>
            <w:tcBorders>
              <w:top w:val="single" w:sz="4" w:space="0" w:color="auto"/>
              <w:bottom w:val="single" w:sz="4" w:space="0" w:color="auto"/>
            </w:tcBorders>
            <w:vAlign w:val="center"/>
          </w:tcPr>
          <w:p w14:paraId="2605DFD4" w14:textId="6CE55698" w:rsidR="007545D0" w:rsidRPr="0029325B" w:rsidRDefault="007545D0" w:rsidP="00092EFA">
            <w:pPr>
              <w:pStyle w:val="FAPHeadingThree"/>
              <w:jc w:val="right"/>
              <w:rPr>
                <w:rFonts w:ascii="Arial Narrow" w:hAnsi="Arial Narrow" w:cs="Times New Roman"/>
                <w:b/>
                <w:i w:val="0"/>
                <w:sz w:val="20"/>
                <w:szCs w:val="20"/>
                <w:u w:val="none"/>
              </w:rPr>
            </w:pPr>
            <w:r>
              <w:rPr>
                <w:rFonts w:ascii="Arial Narrow" w:hAnsi="Arial Narrow" w:cs="Times New Roman"/>
                <w:b/>
                <w:i w:val="0"/>
                <w:sz w:val="20"/>
                <w:szCs w:val="20"/>
                <w:u w:val="none"/>
              </w:rPr>
              <w:t xml:space="preserve">Customary Māori </w:t>
            </w:r>
          </w:p>
        </w:tc>
        <w:tc>
          <w:tcPr>
            <w:tcW w:w="704" w:type="pct"/>
            <w:tcBorders>
              <w:top w:val="single" w:sz="4" w:space="0" w:color="auto"/>
              <w:bottom w:val="single" w:sz="4" w:space="0" w:color="auto"/>
            </w:tcBorders>
            <w:vAlign w:val="center"/>
          </w:tcPr>
          <w:p w14:paraId="4A6887EE" w14:textId="3DE1F843" w:rsidR="007545D0" w:rsidRPr="0029325B" w:rsidRDefault="007545D0" w:rsidP="00092EFA">
            <w:pPr>
              <w:pStyle w:val="FAPHeadingThree"/>
              <w:jc w:val="right"/>
              <w:rPr>
                <w:rFonts w:ascii="Arial Narrow" w:hAnsi="Arial Narrow" w:cs="Times New Roman"/>
                <w:b/>
                <w:i w:val="0"/>
                <w:sz w:val="20"/>
                <w:szCs w:val="20"/>
                <w:u w:val="none"/>
              </w:rPr>
            </w:pPr>
            <w:r>
              <w:rPr>
                <w:rFonts w:ascii="Arial Narrow" w:hAnsi="Arial Narrow" w:cs="Times New Roman"/>
                <w:b/>
                <w:i w:val="0"/>
                <w:sz w:val="20"/>
                <w:szCs w:val="20"/>
                <w:u w:val="none"/>
              </w:rPr>
              <w:t xml:space="preserve">Recreational </w:t>
            </w:r>
          </w:p>
        </w:tc>
        <w:tc>
          <w:tcPr>
            <w:tcW w:w="1638" w:type="pct"/>
            <w:tcBorders>
              <w:top w:val="single" w:sz="4" w:space="0" w:color="auto"/>
              <w:bottom w:val="single" w:sz="4" w:space="0" w:color="auto"/>
            </w:tcBorders>
            <w:vAlign w:val="center"/>
          </w:tcPr>
          <w:p w14:paraId="27338CFB" w14:textId="212E4686" w:rsidR="007545D0" w:rsidRPr="0029325B" w:rsidRDefault="007545D0" w:rsidP="0060161E">
            <w:pPr>
              <w:pStyle w:val="FAPHeadingThree"/>
              <w:jc w:val="right"/>
              <w:rPr>
                <w:rFonts w:ascii="Arial Narrow" w:hAnsi="Arial Narrow" w:cs="Times New Roman"/>
                <w:b/>
                <w:i w:val="0"/>
                <w:sz w:val="20"/>
                <w:szCs w:val="20"/>
                <w:u w:val="none"/>
              </w:rPr>
            </w:pPr>
            <w:r>
              <w:rPr>
                <w:rFonts w:ascii="Arial Narrow" w:hAnsi="Arial Narrow" w:cs="Times New Roman"/>
                <w:b/>
                <w:i w:val="0"/>
                <w:sz w:val="20"/>
                <w:szCs w:val="20"/>
                <w:u w:val="none"/>
              </w:rPr>
              <w:t xml:space="preserve">Other sources of fishing-related mortality </w:t>
            </w:r>
          </w:p>
        </w:tc>
      </w:tr>
      <w:tr w:rsidR="007545D0" w:rsidRPr="00B26154" w14:paraId="41612081" w14:textId="77777777" w:rsidTr="00FE7047">
        <w:trPr>
          <w:trHeight w:val="283"/>
        </w:trPr>
        <w:tc>
          <w:tcPr>
            <w:tcW w:w="1016" w:type="pct"/>
            <w:vAlign w:val="center"/>
          </w:tcPr>
          <w:p w14:paraId="54FBC2FE" w14:textId="7199BEAF" w:rsidR="007545D0" w:rsidRPr="00B26154" w:rsidRDefault="007545D0" w:rsidP="00092EFA">
            <w:pPr>
              <w:pStyle w:val="FAPHeadingThree"/>
              <w:jc w:val="left"/>
              <w:rPr>
                <w:rFonts w:ascii="Arial Narrow" w:hAnsi="Arial Narrow" w:cs="Times New Roman"/>
                <w:i w:val="0"/>
                <w:sz w:val="20"/>
                <w:szCs w:val="20"/>
                <w:u w:val="none"/>
              </w:rPr>
            </w:pPr>
            <w:r w:rsidRPr="00FE7047">
              <w:rPr>
                <w:rFonts w:ascii="Arial Narrow" w:hAnsi="Arial Narrow" w:cs="Times New Roman"/>
                <w:b/>
                <w:i w:val="0"/>
                <w:sz w:val="20"/>
                <w:szCs w:val="20"/>
                <w:u w:val="none"/>
              </w:rPr>
              <w:t>Option 1</w:t>
            </w:r>
            <w:r>
              <w:rPr>
                <w:rFonts w:ascii="Arial Narrow" w:hAnsi="Arial Narrow" w:cs="Times New Roman"/>
                <w:i w:val="0"/>
                <w:sz w:val="20"/>
                <w:szCs w:val="20"/>
                <w:u w:val="none"/>
              </w:rPr>
              <w:t xml:space="preserve"> (</w:t>
            </w:r>
            <w:r w:rsidRPr="00000C9E">
              <w:rPr>
                <w:rFonts w:ascii="Arial Narrow" w:hAnsi="Arial Narrow" w:cs="Times New Roman"/>
                <w:sz w:val="20"/>
                <w:szCs w:val="20"/>
                <w:u w:val="none"/>
              </w:rPr>
              <w:t>status quo</w:t>
            </w:r>
            <w:r>
              <w:rPr>
                <w:rFonts w:ascii="Arial Narrow" w:hAnsi="Arial Narrow" w:cs="Times New Roman"/>
                <w:i w:val="0"/>
                <w:sz w:val="20"/>
                <w:szCs w:val="20"/>
                <w:u w:val="none"/>
              </w:rPr>
              <w:t>)</w:t>
            </w:r>
          </w:p>
        </w:tc>
        <w:tc>
          <w:tcPr>
            <w:tcW w:w="391" w:type="pct"/>
            <w:vAlign w:val="center"/>
          </w:tcPr>
          <w:p w14:paraId="59747AD1" w14:textId="2C706F5B" w:rsidR="007545D0" w:rsidRPr="00B26154" w:rsidRDefault="007545D0" w:rsidP="00092EFA">
            <w:pPr>
              <w:pStyle w:val="FAPHeadingThree"/>
              <w:jc w:val="right"/>
              <w:rPr>
                <w:rFonts w:ascii="Arial Narrow" w:hAnsi="Arial Narrow" w:cs="Times New Roman"/>
                <w:i w:val="0"/>
                <w:sz w:val="20"/>
                <w:szCs w:val="20"/>
                <w:u w:val="none"/>
              </w:rPr>
            </w:pPr>
            <w:r>
              <w:rPr>
                <w:rFonts w:ascii="Arial Narrow" w:hAnsi="Arial Narrow" w:cs="Times New Roman"/>
                <w:i w:val="0"/>
                <w:sz w:val="20"/>
                <w:szCs w:val="20"/>
                <w:u w:val="none"/>
              </w:rPr>
              <w:t>3</w:t>
            </w:r>
          </w:p>
        </w:tc>
        <w:tc>
          <w:tcPr>
            <w:tcW w:w="469" w:type="pct"/>
            <w:vAlign w:val="center"/>
          </w:tcPr>
          <w:p w14:paraId="64987705" w14:textId="706CD0F2" w:rsidR="007545D0" w:rsidRPr="00B26154" w:rsidRDefault="007545D0" w:rsidP="00092EFA">
            <w:pPr>
              <w:pStyle w:val="FAPHeadingThree"/>
              <w:jc w:val="right"/>
              <w:rPr>
                <w:rFonts w:ascii="Arial Narrow" w:hAnsi="Arial Narrow" w:cs="Times New Roman"/>
                <w:i w:val="0"/>
                <w:sz w:val="20"/>
                <w:szCs w:val="20"/>
                <w:u w:val="none"/>
              </w:rPr>
            </w:pPr>
            <w:r>
              <w:rPr>
                <w:rFonts w:ascii="Arial Narrow" w:hAnsi="Arial Narrow" w:cs="Times New Roman"/>
                <w:i w:val="0"/>
                <w:sz w:val="20"/>
                <w:szCs w:val="20"/>
                <w:u w:val="none"/>
              </w:rPr>
              <w:t>3</w:t>
            </w:r>
          </w:p>
        </w:tc>
        <w:tc>
          <w:tcPr>
            <w:tcW w:w="782" w:type="pct"/>
            <w:vAlign w:val="center"/>
          </w:tcPr>
          <w:p w14:paraId="481AE584" w14:textId="1998BA6B" w:rsidR="007545D0" w:rsidRPr="00B26154" w:rsidRDefault="007545D0" w:rsidP="00092EFA">
            <w:pPr>
              <w:pStyle w:val="FAPHeadingThree"/>
              <w:jc w:val="right"/>
              <w:rPr>
                <w:rFonts w:ascii="Arial Narrow" w:hAnsi="Arial Narrow" w:cs="Times New Roman"/>
                <w:i w:val="0"/>
                <w:sz w:val="20"/>
                <w:szCs w:val="20"/>
                <w:u w:val="none"/>
              </w:rPr>
            </w:pPr>
            <w:r>
              <w:rPr>
                <w:rFonts w:ascii="Arial Narrow" w:hAnsi="Arial Narrow" w:cs="Times New Roman"/>
                <w:i w:val="0"/>
                <w:sz w:val="20"/>
                <w:szCs w:val="20"/>
                <w:u w:val="none"/>
              </w:rPr>
              <w:t>0</w:t>
            </w:r>
          </w:p>
        </w:tc>
        <w:tc>
          <w:tcPr>
            <w:tcW w:w="704" w:type="pct"/>
            <w:vAlign w:val="center"/>
          </w:tcPr>
          <w:p w14:paraId="4AE3C59B" w14:textId="133460EF" w:rsidR="007545D0" w:rsidRPr="00B26154" w:rsidRDefault="007545D0" w:rsidP="00092EFA">
            <w:pPr>
              <w:pStyle w:val="FAPHeadingThree"/>
              <w:jc w:val="right"/>
              <w:rPr>
                <w:rFonts w:ascii="Arial Narrow" w:hAnsi="Arial Narrow" w:cs="Times New Roman"/>
                <w:i w:val="0"/>
                <w:sz w:val="20"/>
                <w:szCs w:val="20"/>
                <w:u w:val="none"/>
              </w:rPr>
            </w:pPr>
            <w:r>
              <w:rPr>
                <w:rFonts w:ascii="Arial Narrow" w:hAnsi="Arial Narrow" w:cs="Times New Roman"/>
                <w:i w:val="0"/>
                <w:sz w:val="20"/>
                <w:szCs w:val="20"/>
                <w:u w:val="none"/>
              </w:rPr>
              <w:t>0</w:t>
            </w:r>
          </w:p>
        </w:tc>
        <w:tc>
          <w:tcPr>
            <w:tcW w:w="1638" w:type="pct"/>
            <w:vAlign w:val="center"/>
          </w:tcPr>
          <w:p w14:paraId="1F209E2E" w14:textId="5B775DEE" w:rsidR="007545D0" w:rsidRPr="00B26154" w:rsidRDefault="007545D0" w:rsidP="00092EFA">
            <w:pPr>
              <w:pStyle w:val="FAPHeadingThree"/>
              <w:jc w:val="right"/>
              <w:rPr>
                <w:rFonts w:ascii="Arial Narrow" w:hAnsi="Arial Narrow" w:cs="Times New Roman"/>
                <w:i w:val="0"/>
                <w:sz w:val="20"/>
                <w:szCs w:val="20"/>
                <w:u w:val="none"/>
              </w:rPr>
            </w:pPr>
            <w:r>
              <w:rPr>
                <w:rFonts w:ascii="Arial Narrow" w:hAnsi="Arial Narrow" w:cs="Times New Roman"/>
                <w:i w:val="0"/>
                <w:sz w:val="20"/>
                <w:szCs w:val="20"/>
                <w:u w:val="none"/>
              </w:rPr>
              <w:t>0</w:t>
            </w:r>
          </w:p>
        </w:tc>
      </w:tr>
      <w:tr w:rsidR="007545D0" w:rsidRPr="00EC419B" w14:paraId="37613620" w14:textId="77777777" w:rsidTr="00FE7047">
        <w:trPr>
          <w:trHeight w:val="283"/>
        </w:trPr>
        <w:tc>
          <w:tcPr>
            <w:tcW w:w="1016" w:type="pct"/>
            <w:vAlign w:val="center"/>
          </w:tcPr>
          <w:p w14:paraId="4628CDE1" w14:textId="3BE2F4D2" w:rsidR="007545D0" w:rsidRPr="00FE7047" w:rsidRDefault="007545D0" w:rsidP="00092EFA">
            <w:pPr>
              <w:pStyle w:val="FAPHeadingThree"/>
              <w:jc w:val="left"/>
              <w:rPr>
                <w:rFonts w:ascii="Arial Narrow" w:hAnsi="Arial Narrow" w:cs="Times New Roman"/>
                <w:b/>
                <w:i w:val="0"/>
                <w:sz w:val="20"/>
                <w:szCs w:val="20"/>
                <w:u w:val="none"/>
              </w:rPr>
            </w:pPr>
            <w:r w:rsidRPr="00FE7047">
              <w:rPr>
                <w:rFonts w:ascii="Arial Narrow" w:hAnsi="Arial Narrow" w:cs="Times New Roman"/>
                <w:b/>
                <w:i w:val="0"/>
                <w:sz w:val="20"/>
                <w:szCs w:val="20"/>
                <w:u w:val="none"/>
              </w:rPr>
              <w:t>Option 2</w:t>
            </w:r>
          </w:p>
        </w:tc>
        <w:tc>
          <w:tcPr>
            <w:tcW w:w="391" w:type="pct"/>
            <w:vAlign w:val="center"/>
          </w:tcPr>
          <w:p w14:paraId="266F027D" w14:textId="2862F6C0" w:rsidR="007545D0" w:rsidRPr="00EC419B" w:rsidRDefault="007545D0" w:rsidP="00937E0F">
            <w:pPr>
              <w:jc w:val="right"/>
              <w:rPr>
                <w:rFonts w:ascii="Arial Narrow" w:hAnsi="Arial Narrow" w:cs="Arial"/>
                <w:sz w:val="20"/>
                <w:szCs w:val="22"/>
              </w:rPr>
            </w:pPr>
            <w:r>
              <w:rPr>
                <w:rFonts w:ascii="Arial Narrow" w:hAnsi="Arial Narrow" w:cs="Arial"/>
                <w:sz w:val="20"/>
                <w:szCs w:val="22"/>
              </w:rPr>
              <w:t>16</w:t>
            </w:r>
          </w:p>
        </w:tc>
        <w:tc>
          <w:tcPr>
            <w:tcW w:w="469" w:type="pct"/>
            <w:vAlign w:val="center"/>
          </w:tcPr>
          <w:p w14:paraId="0BBF2F68" w14:textId="04B0FDA1" w:rsidR="007545D0" w:rsidRPr="00EC419B" w:rsidRDefault="007545D0" w:rsidP="00092EFA">
            <w:pPr>
              <w:jc w:val="right"/>
              <w:rPr>
                <w:rFonts w:ascii="Arial Narrow" w:hAnsi="Arial Narrow" w:cs="Arial"/>
                <w:sz w:val="20"/>
                <w:szCs w:val="22"/>
              </w:rPr>
            </w:pPr>
            <w:r>
              <w:rPr>
                <w:rFonts w:ascii="Arial Narrow" w:hAnsi="Arial Narrow" w:cs="Arial"/>
                <w:sz w:val="20"/>
                <w:szCs w:val="22"/>
              </w:rPr>
              <w:t>15</w:t>
            </w:r>
          </w:p>
        </w:tc>
        <w:tc>
          <w:tcPr>
            <w:tcW w:w="782" w:type="pct"/>
            <w:vAlign w:val="center"/>
          </w:tcPr>
          <w:p w14:paraId="408A72E3" w14:textId="14FEB7DF" w:rsidR="007545D0" w:rsidRPr="00EC419B" w:rsidRDefault="007545D0" w:rsidP="00092EFA">
            <w:pPr>
              <w:jc w:val="right"/>
              <w:rPr>
                <w:rFonts w:ascii="Arial Narrow" w:hAnsi="Arial Narrow" w:cs="Arial"/>
                <w:sz w:val="20"/>
                <w:szCs w:val="22"/>
              </w:rPr>
            </w:pPr>
            <w:r>
              <w:rPr>
                <w:rFonts w:ascii="Arial Narrow" w:hAnsi="Arial Narrow" w:cs="Arial"/>
                <w:sz w:val="20"/>
                <w:szCs w:val="22"/>
              </w:rPr>
              <w:t>0</w:t>
            </w:r>
          </w:p>
        </w:tc>
        <w:tc>
          <w:tcPr>
            <w:tcW w:w="704" w:type="pct"/>
            <w:vAlign w:val="center"/>
          </w:tcPr>
          <w:p w14:paraId="1A663A98" w14:textId="0AE0AA33" w:rsidR="007545D0" w:rsidRPr="00EC419B" w:rsidRDefault="007545D0" w:rsidP="00092EFA">
            <w:pPr>
              <w:jc w:val="right"/>
              <w:rPr>
                <w:rFonts w:ascii="Arial Narrow" w:hAnsi="Arial Narrow" w:cs="Arial"/>
                <w:sz w:val="20"/>
                <w:szCs w:val="22"/>
              </w:rPr>
            </w:pPr>
            <w:r>
              <w:rPr>
                <w:rFonts w:ascii="Arial Narrow" w:hAnsi="Arial Narrow" w:cs="Arial"/>
                <w:sz w:val="20"/>
                <w:szCs w:val="22"/>
              </w:rPr>
              <w:t>0</w:t>
            </w:r>
          </w:p>
        </w:tc>
        <w:tc>
          <w:tcPr>
            <w:tcW w:w="1638" w:type="pct"/>
            <w:vAlign w:val="center"/>
          </w:tcPr>
          <w:p w14:paraId="5EE2A1AC" w14:textId="763E9AC0" w:rsidR="007545D0" w:rsidRPr="00EC419B" w:rsidRDefault="007545D0" w:rsidP="00092EFA">
            <w:pPr>
              <w:jc w:val="right"/>
              <w:rPr>
                <w:rFonts w:ascii="Arial Narrow" w:hAnsi="Arial Narrow" w:cs="Arial"/>
                <w:sz w:val="20"/>
                <w:szCs w:val="22"/>
              </w:rPr>
            </w:pPr>
            <w:r>
              <w:rPr>
                <w:rFonts w:ascii="Arial Narrow" w:hAnsi="Arial Narrow" w:cs="Arial"/>
                <w:sz w:val="20"/>
                <w:szCs w:val="22"/>
              </w:rPr>
              <w:t>1</w:t>
            </w:r>
          </w:p>
        </w:tc>
      </w:tr>
      <w:tr w:rsidR="007545D0" w:rsidRPr="00EC419B" w14:paraId="5EB8C7C3" w14:textId="77777777" w:rsidTr="00FE7047">
        <w:trPr>
          <w:trHeight w:val="283"/>
        </w:trPr>
        <w:tc>
          <w:tcPr>
            <w:tcW w:w="1016" w:type="pct"/>
            <w:tcBorders>
              <w:bottom w:val="single" w:sz="4" w:space="0" w:color="auto"/>
            </w:tcBorders>
            <w:vAlign w:val="center"/>
          </w:tcPr>
          <w:p w14:paraId="27664005" w14:textId="2ECF7499" w:rsidR="007545D0" w:rsidRPr="00FE7047" w:rsidRDefault="007545D0" w:rsidP="00092EFA">
            <w:pPr>
              <w:pStyle w:val="FAPHeadingThree"/>
              <w:jc w:val="left"/>
              <w:rPr>
                <w:rFonts w:ascii="Arial Narrow" w:hAnsi="Arial Narrow" w:cs="Times New Roman"/>
                <w:b/>
                <w:i w:val="0"/>
                <w:sz w:val="20"/>
                <w:szCs w:val="20"/>
                <w:u w:val="none"/>
              </w:rPr>
            </w:pPr>
            <w:r w:rsidRPr="00FE7047">
              <w:rPr>
                <w:rFonts w:ascii="Arial Narrow" w:hAnsi="Arial Narrow" w:cs="Times New Roman"/>
                <w:b/>
                <w:i w:val="0"/>
                <w:sz w:val="20"/>
                <w:szCs w:val="20"/>
                <w:u w:val="none"/>
              </w:rPr>
              <w:t>Option 3</w:t>
            </w:r>
          </w:p>
        </w:tc>
        <w:tc>
          <w:tcPr>
            <w:tcW w:w="391" w:type="pct"/>
            <w:tcBorders>
              <w:bottom w:val="single" w:sz="4" w:space="0" w:color="auto"/>
            </w:tcBorders>
            <w:vAlign w:val="center"/>
          </w:tcPr>
          <w:p w14:paraId="18B2C3DB" w14:textId="1DAF08D8" w:rsidR="007545D0" w:rsidRPr="00EC419B" w:rsidRDefault="007545D0" w:rsidP="00937E0F">
            <w:pPr>
              <w:jc w:val="right"/>
              <w:rPr>
                <w:rFonts w:ascii="Arial Narrow" w:hAnsi="Arial Narrow" w:cs="Arial"/>
                <w:sz w:val="20"/>
                <w:szCs w:val="22"/>
              </w:rPr>
            </w:pPr>
            <w:r>
              <w:rPr>
                <w:rFonts w:ascii="Arial Narrow" w:hAnsi="Arial Narrow" w:cs="Arial"/>
                <w:sz w:val="20"/>
                <w:szCs w:val="22"/>
              </w:rPr>
              <w:t>32</w:t>
            </w:r>
          </w:p>
        </w:tc>
        <w:tc>
          <w:tcPr>
            <w:tcW w:w="469" w:type="pct"/>
            <w:tcBorders>
              <w:bottom w:val="single" w:sz="4" w:space="0" w:color="auto"/>
            </w:tcBorders>
            <w:vAlign w:val="center"/>
          </w:tcPr>
          <w:p w14:paraId="1D105957" w14:textId="41FAC042" w:rsidR="007545D0" w:rsidRPr="00EC419B" w:rsidRDefault="007545D0" w:rsidP="00367A7A">
            <w:pPr>
              <w:jc w:val="right"/>
              <w:rPr>
                <w:rFonts w:ascii="Arial Narrow" w:hAnsi="Arial Narrow" w:cs="Arial"/>
                <w:sz w:val="20"/>
                <w:szCs w:val="22"/>
              </w:rPr>
            </w:pPr>
            <w:r>
              <w:rPr>
                <w:rFonts w:ascii="Arial Narrow" w:hAnsi="Arial Narrow" w:cs="Arial"/>
                <w:sz w:val="20"/>
                <w:szCs w:val="22"/>
              </w:rPr>
              <w:t>30</w:t>
            </w:r>
          </w:p>
        </w:tc>
        <w:tc>
          <w:tcPr>
            <w:tcW w:w="782" w:type="pct"/>
            <w:tcBorders>
              <w:bottom w:val="single" w:sz="4" w:space="0" w:color="auto"/>
            </w:tcBorders>
            <w:vAlign w:val="center"/>
          </w:tcPr>
          <w:p w14:paraId="17401B9A" w14:textId="4BAE8409" w:rsidR="007545D0" w:rsidRPr="00EC419B" w:rsidRDefault="007545D0" w:rsidP="00092EFA">
            <w:pPr>
              <w:jc w:val="right"/>
              <w:rPr>
                <w:rFonts w:ascii="Arial Narrow" w:hAnsi="Arial Narrow" w:cs="Arial"/>
                <w:sz w:val="20"/>
                <w:szCs w:val="22"/>
              </w:rPr>
            </w:pPr>
            <w:r>
              <w:rPr>
                <w:rFonts w:ascii="Arial Narrow" w:hAnsi="Arial Narrow" w:cs="Arial"/>
                <w:sz w:val="20"/>
                <w:szCs w:val="22"/>
              </w:rPr>
              <w:t>0</w:t>
            </w:r>
          </w:p>
        </w:tc>
        <w:tc>
          <w:tcPr>
            <w:tcW w:w="704" w:type="pct"/>
            <w:tcBorders>
              <w:bottom w:val="single" w:sz="4" w:space="0" w:color="auto"/>
            </w:tcBorders>
            <w:vAlign w:val="center"/>
          </w:tcPr>
          <w:p w14:paraId="116F90E1" w14:textId="010C21DE" w:rsidR="007545D0" w:rsidRPr="00EC419B" w:rsidRDefault="007545D0" w:rsidP="00092EFA">
            <w:pPr>
              <w:jc w:val="right"/>
              <w:rPr>
                <w:rFonts w:ascii="Arial Narrow" w:hAnsi="Arial Narrow" w:cs="Arial"/>
                <w:sz w:val="20"/>
                <w:szCs w:val="22"/>
              </w:rPr>
            </w:pPr>
            <w:r>
              <w:rPr>
                <w:rFonts w:ascii="Arial Narrow" w:hAnsi="Arial Narrow" w:cs="Arial"/>
                <w:sz w:val="20"/>
                <w:szCs w:val="22"/>
              </w:rPr>
              <w:t>0</w:t>
            </w:r>
          </w:p>
        </w:tc>
        <w:tc>
          <w:tcPr>
            <w:tcW w:w="1638" w:type="pct"/>
            <w:tcBorders>
              <w:bottom w:val="single" w:sz="4" w:space="0" w:color="auto"/>
            </w:tcBorders>
            <w:vAlign w:val="center"/>
          </w:tcPr>
          <w:p w14:paraId="0015C87B" w14:textId="2BEF9921" w:rsidR="007545D0" w:rsidRPr="00EC419B" w:rsidRDefault="007545D0" w:rsidP="00367A7A">
            <w:pPr>
              <w:jc w:val="right"/>
              <w:rPr>
                <w:rFonts w:ascii="Arial Narrow" w:hAnsi="Arial Narrow" w:cs="Arial"/>
                <w:sz w:val="20"/>
                <w:szCs w:val="22"/>
              </w:rPr>
            </w:pPr>
            <w:r>
              <w:rPr>
                <w:rFonts w:ascii="Arial Narrow" w:hAnsi="Arial Narrow" w:cs="Arial"/>
                <w:sz w:val="20"/>
                <w:szCs w:val="22"/>
              </w:rPr>
              <w:t>2</w:t>
            </w:r>
          </w:p>
        </w:tc>
      </w:tr>
    </w:tbl>
    <w:p w14:paraId="71D45CB4" w14:textId="77777777" w:rsidR="00A84C22" w:rsidRPr="00A84C22" w:rsidRDefault="00A84C22" w:rsidP="00471C3D"/>
    <w:p w14:paraId="7AF55D33" w14:textId="16E57842" w:rsidR="00471C3D" w:rsidRDefault="00000C9E" w:rsidP="00471C3D">
      <w:r>
        <w:t>In all cases MPI proposes to retain the existing zer</w:t>
      </w:r>
      <w:r w:rsidR="00EF2383">
        <w:t xml:space="preserve">o allowance for </w:t>
      </w:r>
      <w:r w:rsidR="002D208F">
        <w:t xml:space="preserve">customary </w:t>
      </w:r>
      <w:r w:rsidR="00F0072C">
        <w:t>Māori</w:t>
      </w:r>
      <w:r w:rsidR="002D208F">
        <w:t xml:space="preserve"> and recreational fisheries</w:t>
      </w:r>
      <w:r w:rsidR="00EF2383">
        <w:t>. For options other than the status quo, MPI proposes</w:t>
      </w:r>
      <w:r w:rsidR="00937E0F">
        <w:t xml:space="preserve"> a small allowance for </w:t>
      </w:r>
      <w:r>
        <w:t xml:space="preserve">other sources of fishing related mortality. </w:t>
      </w:r>
    </w:p>
    <w:p w14:paraId="7783FBB0" w14:textId="77777777" w:rsidR="00DA1631" w:rsidRDefault="00DA1631" w:rsidP="00471C3D"/>
    <w:p w14:paraId="32055874" w14:textId="77777777" w:rsidR="00471C3D" w:rsidRDefault="00471C3D" w:rsidP="00471C3D">
      <w:pPr>
        <w:pStyle w:val="Heading1"/>
      </w:pPr>
      <w:bookmarkStart w:id="5" w:name="_Toc398800934"/>
      <w:bookmarkStart w:id="6" w:name="_Toc398801105"/>
      <w:bookmarkStart w:id="7" w:name="_Toc399138963"/>
      <w:bookmarkStart w:id="8" w:name="_Toc399398664"/>
      <w:bookmarkStart w:id="9" w:name="_Toc398800943"/>
      <w:bookmarkStart w:id="10" w:name="_Toc398801114"/>
      <w:bookmarkStart w:id="11" w:name="_Toc399138972"/>
      <w:bookmarkStart w:id="12" w:name="_Toc399398673"/>
      <w:bookmarkStart w:id="13" w:name="_Toc399138981"/>
      <w:bookmarkStart w:id="14" w:name="_Toc453052960"/>
      <w:bookmarkEnd w:id="5"/>
      <w:bookmarkEnd w:id="6"/>
      <w:bookmarkEnd w:id="7"/>
      <w:bookmarkEnd w:id="8"/>
      <w:bookmarkEnd w:id="9"/>
      <w:bookmarkEnd w:id="10"/>
      <w:bookmarkEnd w:id="11"/>
      <w:bookmarkEnd w:id="12"/>
      <w:r>
        <w:t>Purpose</w:t>
      </w:r>
      <w:bookmarkEnd w:id="13"/>
      <w:bookmarkEnd w:id="14"/>
      <w:r>
        <w:t xml:space="preserve"> </w:t>
      </w:r>
    </w:p>
    <w:p w14:paraId="121F1569" w14:textId="0B7ADC7D" w:rsidR="00471C3D" w:rsidRPr="009E1541" w:rsidRDefault="004348A5" w:rsidP="00471C3D">
      <w:pPr>
        <w:pStyle w:val="Heading2"/>
      </w:pPr>
      <w:bookmarkStart w:id="15" w:name="_Toc399138982"/>
      <w:bookmarkStart w:id="16" w:name="_Toc453052961"/>
      <w:r>
        <w:t>Issue/Need for a</w:t>
      </w:r>
      <w:r w:rsidR="00471C3D" w:rsidRPr="009E1541">
        <w:t>ction</w:t>
      </w:r>
      <w:bookmarkEnd w:id="15"/>
      <w:bookmarkEnd w:id="16"/>
      <w:r w:rsidR="00471C3D" w:rsidRPr="009E1541">
        <w:t xml:space="preserve"> </w:t>
      </w:r>
    </w:p>
    <w:p w14:paraId="0902FD6E" w14:textId="10CB2B64" w:rsidR="00193E1C" w:rsidRDefault="009E1541" w:rsidP="00000C9E">
      <w:r>
        <w:t>The primary rationale</w:t>
      </w:r>
      <w:r w:rsidR="00000C9E">
        <w:t xml:space="preserve"> for reviewing the TAC for </w:t>
      </w:r>
      <w:r w:rsidR="00C71FB1">
        <w:t>RBY 3</w:t>
      </w:r>
      <w:r w:rsidR="00000C9E">
        <w:t xml:space="preserve"> is the large (relative to the </w:t>
      </w:r>
      <w:r w:rsidR="00177C7A">
        <w:t xml:space="preserve">conservative nominal </w:t>
      </w:r>
      <w:r w:rsidR="00000C9E">
        <w:t xml:space="preserve">TACC) catch reported during the 2014/15 and 2015/16 fishing years. </w:t>
      </w:r>
      <w:r w:rsidR="00177C7A">
        <w:t>Increased redbait effort in RBT 3 (including RBY 3) since 2012/13 is likely driving this increase, with associated increases in the volume of rubyfish bycatch. RBY 3 c</w:t>
      </w:r>
      <w:r w:rsidR="00000C9E">
        <w:t xml:space="preserve">atch </w:t>
      </w:r>
      <w:r w:rsidR="00CF7233">
        <w:t>during 2014/1</w:t>
      </w:r>
      <w:r w:rsidR="00177C7A">
        <w:t xml:space="preserve">5 was just under five times the </w:t>
      </w:r>
      <w:r w:rsidR="00CF7233">
        <w:t>TACC while</w:t>
      </w:r>
      <w:r w:rsidR="00000C9E">
        <w:t xml:space="preserve"> </w:t>
      </w:r>
      <w:r w:rsidR="00CF7233">
        <w:t>as at April 2016</w:t>
      </w:r>
      <w:r w:rsidR="00092EFA">
        <w:t xml:space="preserve">, </w:t>
      </w:r>
      <w:r w:rsidR="00CF7233">
        <w:t xml:space="preserve">catch for </w:t>
      </w:r>
      <w:r w:rsidR="00092EFA">
        <w:t xml:space="preserve">the </w:t>
      </w:r>
      <w:r w:rsidR="00000C9E">
        <w:t xml:space="preserve">2015/16 </w:t>
      </w:r>
      <w:r w:rsidR="00092EFA">
        <w:t xml:space="preserve">year </w:t>
      </w:r>
      <w:r w:rsidR="00000C9E">
        <w:t>is almost 10 tim</w:t>
      </w:r>
      <w:r w:rsidR="00CF7233">
        <w:t>es the TACC</w:t>
      </w:r>
      <w:r w:rsidR="00000C9E">
        <w:t>.</w:t>
      </w:r>
      <w:r w:rsidR="005F7B4F">
        <w:t xml:space="preserve"> </w:t>
      </w:r>
      <w:r w:rsidR="00C4791F">
        <w:t>C</w:t>
      </w:r>
      <w:r w:rsidR="005F7B4F">
        <w:t xml:space="preserve">onsidering the current nominal </w:t>
      </w:r>
      <w:r w:rsidR="00C4791F">
        <w:t>TAC for RBY 3</w:t>
      </w:r>
      <w:r w:rsidR="005F7B4F">
        <w:t xml:space="preserve">, </w:t>
      </w:r>
      <w:r w:rsidR="00C4791F">
        <w:t>a relatively moderate increase to the TAC is not considered a sustainability risk, and in combination with the proposed changes to rubyfish deemed value rates (see section 7.1) would retain the incentive for fishers to correctly report catches.</w:t>
      </w:r>
    </w:p>
    <w:p w14:paraId="30B36A24" w14:textId="77777777" w:rsidR="00F0072C" w:rsidRDefault="00F0072C" w:rsidP="00000C9E"/>
    <w:p w14:paraId="52C11B22" w14:textId="7C93FF57" w:rsidR="00471C3D" w:rsidRPr="005F5921" w:rsidRDefault="004348A5" w:rsidP="00471C3D">
      <w:pPr>
        <w:pStyle w:val="Heading2"/>
      </w:pPr>
      <w:bookmarkStart w:id="17" w:name="_Toc399138983"/>
      <w:bookmarkStart w:id="18" w:name="_Toc453052962"/>
      <w:r>
        <w:t>Management a</w:t>
      </w:r>
      <w:r w:rsidR="00471C3D" w:rsidRPr="005F5921">
        <w:t>pproach</w:t>
      </w:r>
      <w:bookmarkEnd w:id="17"/>
      <w:bookmarkEnd w:id="18"/>
    </w:p>
    <w:p w14:paraId="0B64022D" w14:textId="143CC376" w:rsidR="00D274A2" w:rsidRDefault="00000C9E" w:rsidP="00471C3D">
      <w:r>
        <w:t>Rubyfish</w:t>
      </w:r>
      <w:r w:rsidR="0074189F">
        <w:t xml:space="preserve"> is managed </w:t>
      </w:r>
      <w:r w:rsidR="00D274A2">
        <w:t>under</w:t>
      </w:r>
      <w:r w:rsidR="0074189F">
        <w:t xml:space="preserve"> the National Fisheries Plan for Deepwater and Middle-Depth </w:t>
      </w:r>
      <w:r w:rsidR="00D274A2">
        <w:t>F</w:t>
      </w:r>
      <w:r w:rsidR="0074189F">
        <w:t xml:space="preserve">isheries </w:t>
      </w:r>
      <w:r w:rsidR="00D274A2">
        <w:t xml:space="preserve">(National Deepwater Plan), which was approved by the Minister of Fisheries under section 11A of the Fisheries Act 1996. Within the National Deepwater Plan it is classed as </w:t>
      </w:r>
      <w:r w:rsidR="0074189F">
        <w:t xml:space="preserve">a Tier </w:t>
      </w:r>
      <w:r>
        <w:t>2</w:t>
      </w:r>
      <w:r w:rsidR="0074189F">
        <w:t xml:space="preserve"> </w:t>
      </w:r>
      <w:r>
        <w:t>species</w:t>
      </w:r>
      <w:r w:rsidR="0074189F">
        <w:t xml:space="preserve">. </w:t>
      </w:r>
      <w:r w:rsidR="00D274A2">
        <w:t>Tier 2 fisheries are typically less valuable bycatch fisheries or are only target fisheries at certain times of the year.</w:t>
      </w:r>
    </w:p>
    <w:p w14:paraId="1BFEACED" w14:textId="77777777" w:rsidR="00D274A2" w:rsidRDefault="00D274A2" w:rsidP="00471C3D"/>
    <w:p w14:paraId="553ACDB4" w14:textId="51DFEFE0" w:rsidR="00471C3D" w:rsidRDefault="00D274A2" w:rsidP="00471C3D">
      <w:r>
        <w:t>For rubyfish, as with most Tier 2 species, there is insufficient information to undertake a stock assessment</w:t>
      </w:r>
      <w:r w:rsidR="00ED1A9F">
        <w:t xml:space="preserve"> and determine </w:t>
      </w:r>
      <w:r w:rsidR="00177C7A">
        <w:t>stock status in relation to default</w:t>
      </w:r>
      <w:r w:rsidR="00ED1A9F">
        <w:t xml:space="preserve"> target and reference points</w:t>
      </w:r>
      <w:r>
        <w:t xml:space="preserve">. </w:t>
      </w:r>
    </w:p>
    <w:p w14:paraId="48814F44" w14:textId="77777777" w:rsidR="00AE22B1" w:rsidRPr="00AE22B1" w:rsidRDefault="00AE22B1" w:rsidP="00471C3D">
      <w:pPr>
        <w:rPr>
          <w:sz w:val="22"/>
          <w:szCs w:val="22"/>
        </w:rPr>
      </w:pPr>
    </w:p>
    <w:p w14:paraId="24A99497" w14:textId="69B4BACA" w:rsidR="00414A95" w:rsidRDefault="00177C7A" w:rsidP="00471C3D">
      <w:r>
        <w:t>Rubyfish will be included in future work focused on monitoring and managing low-information stocks.</w:t>
      </w:r>
    </w:p>
    <w:p w14:paraId="2000A1D3" w14:textId="77777777" w:rsidR="00414A95" w:rsidRDefault="00414A95" w:rsidP="00471C3D"/>
    <w:p w14:paraId="369F2F19" w14:textId="77777777" w:rsidR="00471C3D" w:rsidRDefault="00471C3D" w:rsidP="00471C3D">
      <w:pPr>
        <w:pStyle w:val="Heading1"/>
      </w:pPr>
      <w:bookmarkStart w:id="19" w:name="_Toc399138984"/>
      <w:bookmarkStart w:id="20" w:name="_Toc453052963"/>
      <w:r>
        <w:t>Background Information</w:t>
      </w:r>
      <w:bookmarkEnd w:id="19"/>
      <w:bookmarkEnd w:id="20"/>
    </w:p>
    <w:p w14:paraId="13DE92E6" w14:textId="239BA7E6" w:rsidR="00471C3D" w:rsidRDefault="004348A5" w:rsidP="00471C3D">
      <w:pPr>
        <w:pStyle w:val="Heading2"/>
      </w:pPr>
      <w:bookmarkStart w:id="21" w:name="_Toc399138985"/>
      <w:bookmarkStart w:id="22" w:name="_Toc453052964"/>
      <w:r>
        <w:t>Biological c</w:t>
      </w:r>
      <w:r w:rsidR="00471C3D" w:rsidRPr="008B6C6E">
        <w:t xml:space="preserve">haracteristics of </w:t>
      </w:r>
      <w:bookmarkEnd w:id="21"/>
      <w:r w:rsidR="002855DC">
        <w:t>rubyfish</w:t>
      </w:r>
      <w:bookmarkEnd w:id="22"/>
    </w:p>
    <w:p w14:paraId="7FC0EE71" w14:textId="7204E640" w:rsidR="00E877EE" w:rsidRDefault="0060161E" w:rsidP="008B6C6E">
      <w:r>
        <w:t>Rubyfish</w:t>
      </w:r>
      <w:r w:rsidR="002855DC">
        <w:t xml:space="preserve"> is found in New Zealand waters as well as parts of the Atlantic and Indian Oceans and other parts of the South Pacific Ocean. </w:t>
      </w:r>
      <w:r w:rsidR="00E877EE">
        <w:t>It belongs to the same family as redbait and catch distribution suggests it aggregates around features.</w:t>
      </w:r>
    </w:p>
    <w:p w14:paraId="36BDFF11" w14:textId="77777777" w:rsidR="00E877EE" w:rsidRDefault="00E877EE" w:rsidP="008B6C6E"/>
    <w:p w14:paraId="55CC9DB0" w14:textId="62D97107" w:rsidR="00162FE3" w:rsidRDefault="00E3743A" w:rsidP="008B6C6E">
      <w:r>
        <w:t>In New Zealand waters</w:t>
      </w:r>
      <w:r w:rsidR="002855DC">
        <w:t xml:space="preserve"> the species</w:t>
      </w:r>
      <w:r>
        <w:t xml:space="preserve"> has, to date, been </w:t>
      </w:r>
      <w:r w:rsidR="00816174">
        <w:t xml:space="preserve">uncommon south of the Chatham Rise </w:t>
      </w:r>
      <w:r w:rsidR="00497FD8">
        <w:t>and South Westland. It</w:t>
      </w:r>
      <w:r w:rsidR="00E877EE">
        <w:t xml:space="preserve"> is</w:t>
      </w:r>
      <w:r w:rsidR="00816174">
        <w:t xml:space="preserve"> much </w:t>
      </w:r>
      <w:r w:rsidR="002855DC">
        <w:t>more common around the North Island</w:t>
      </w:r>
      <w:r w:rsidR="0060161E">
        <w:t>,</w:t>
      </w:r>
      <w:r w:rsidR="00497FD8">
        <w:t xml:space="preserve"> with</w:t>
      </w:r>
      <w:r w:rsidR="00816174">
        <w:t xml:space="preserve"> </w:t>
      </w:r>
      <w:r w:rsidR="00497FD8">
        <w:t>t</w:t>
      </w:r>
      <w:r w:rsidR="00816174">
        <w:t>arget fisheries in the Bay of Plenty and off the east coast of the North Island</w:t>
      </w:r>
      <w:r w:rsidR="00497FD8">
        <w:t xml:space="preserve"> taking </w:t>
      </w:r>
      <w:r w:rsidR="00816174">
        <w:t>between 300 and 600 tonnes per year</w:t>
      </w:r>
      <w:r w:rsidR="00A95671">
        <w:t xml:space="preserve"> between them</w:t>
      </w:r>
      <w:r w:rsidR="00816174">
        <w:t>.</w:t>
      </w:r>
    </w:p>
    <w:p w14:paraId="54E00431" w14:textId="77777777" w:rsidR="00816174" w:rsidRDefault="00816174" w:rsidP="008B6C6E"/>
    <w:p w14:paraId="5DF1A120" w14:textId="3956D35A" w:rsidR="008B6C6E" w:rsidRDefault="00816174" w:rsidP="008B6C6E">
      <w:r>
        <w:t>Rubyfish is thought to be long-lived, growing to a maximum age of around 100 years. Growth appears to be rapid for the first 10 years or so, reaching lengths of 35-40cm</w:t>
      </w:r>
      <w:r w:rsidR="00E877EE">
        <w:t xml:space="preserve">. Growth rates then slow, </w:t>
      </w:r>
      <w:r w:rsidR="00A95671">
        <w:t>reaching</w:t>
      </w:r>
      <w:r>
        <w:t xml:space="preserve"> a maximum length of around 5</w:t>
      </w:r>
      <w:r w:rsidR="00E877EE">
        <w:t>7</w:t>
      </w:r>
      <w:r>
        <w:t>cm</w:t>
      </w:r>
      <w:r w:rsidR="00E877EE">
        <w:t>.</w:t>
      </w:r>
      <w:r>
        <w:t xml:space="preserve"> </w:t>
      </w:r>
    </w:p>
    <w:p w14:paraId="034AB296" w14:textId="77777777" w:rsidR="00097C01" w:rsidRDefault="00097C01" w:rsidP="008B6C6E"/>
    <w:p w14:paraId="5CE0A978" w14:textId="003125E0" w:rsidR="00CE0BD0" w:rsidRDefault="00CE0BD0" w:rsidP="008B6C6E">
      <w:r>
        <w:t xml:space="preserve">It is not known whether different regional stocks of rubyfish occur in New Zealand waters. It may, however, be appropriate to consider the </w:t>
      </w:r>
      <w:r w:rsidR="00C71FB1">
        <w:t>RBY 3</w:t>
      </w:r>
      <w:r w:rsidR="00AA1FFF">
        <w:t>-5 stocks as a unit.</w:t>
      </w:r>
    </w:p>
    <w:p w14:paraId="169A18BB" w14:textId="77777777" w:rsidR="00F0072C" w:rsidRDefault="00F0072C" w:rsidP="008B6C6E"/>
    <w:p w14:paraId="38CB35DD" w14:textId="775DFCAF" w:rsidR="00471C3D" w:rsidRPr="00B03188" w:rsidRDefault="004348A5" w:rsidP="00471C3D">
      <w:pPr>
        <w:pStyle w:val="Heading2"/>
      </w:pPr>
      <w:bookmarkStart w:id="23" w:name="_Toc399138986"/>
      <w:bookmarkStart w:id="24" w:name="_Toc453052965"/>
      <w:r>
        <w:t>Fishery d</w:t>
      </w:r>
      <w:r w:rsidR="00471C3D" w:rsidRPr="00B03188">
        <w:t>escription</w:t>
      </w:r>
      <w:bookmarkEnd w:id="23"/>
      <w:bookmarkEnd w:id="24"/>
      <w:r w:rsidR="00471C3D" w:rsidRPr="00B03188">
        <w:t xml:space="preserve"> </w:t>
      </w:r>
    </w:p>
    <w:p w14:paraId="66DE32D4" w14:textId="17E6A558" w:rsidR="00B03188" w:rsidRDefault="00E877EE" w:rsidP="00471C3D">
      <w:r>
        <w:t xml:space="preserve">As already noted, </w:t>
      </w:r>
      <w:r w:rsidR="00A95671">
        <w:t>all</w:t>
      </w:r>
      <w:r w:rsidR="009F31AF">
        <w:t xml:space="preserve"> </w:t>
      </w:r>
      <w:r w:rsidR="00A95671">
        <w:t>rubyfish</w:t>
      </w:r>
      <w:r w:rsidR="00B03188">
        <w:t xml:space="preserve"> </w:t>
      </w:r>
      <w:r w:rsidR="009F31AF">
        <w:t>stock</w:t>
      </w:r>
      <w:r w:rsidR="00A95671">
        <w:t>s</w:t>
      </w:r>
      <w:r w:rsidR="009F31AF">
        <w:t xml:space="preserve"> </w:t>
      </w:r>
      <w:r w:rsidR="00B03188">
        <w:t>w</w:t>
      </w:r>
      <w:r w:rsidR="00A95671">
        <w:t>ere</w:t>
      </w:r>
      <w:r w:rsidR="00B03188">
        <w:t xml:space="preserve"> introduced into the QMS in 19</w:t>
      </w:r>
      <w:r>
        <w:t>98</w:t>
      </w:r>
      <w:r w:rsidR="00AA1FFF">
        <w:t xml:space="preserve"> with</w:t>
      </w:r>
      <w:r w:rsidR="00A95671">
        <w:t xml:space="preserve"> </w:t>
      </w:r>
      <w:r w:rsidR="00AA1FFF">
        <w:t xml:space="preserve">a </w:t>
      </w:r>
      <w:r w:rsidR="00960323">
        <w:t xml:space="preserve">nominal </w:t>
      </w:r>
      <w:r w:rsidR="00AA1FFF">
        <w:t xml:space="preserve">three tonne TACC for </w:t>
      </w:r>
      <w:r w:rsidR="00C71FB1">
        <w:t>RBY 3</w:t>
      </w:r>
      <w:r w:rsidR="00AA1FFF">
        <w:t xml:space="preserve">. </w:t>
      </w:r>
      <w:r>
        <w:t xml:space="preserve">Annual catch </w:t>
      </w:r>
      <w:r w:rsidR="009770AE">
        <w:t xml:space="preserve">for </w:t>
      </w:r>
      <w:r w:rsidR="00497FD8">
        <w:t xml:space="preserve">the </w:t>
      </w:r>
      <w:r w:rsidR="00D15C11">
        <w:t>stock</w:t>
      </w:r>
      <w:r w:rsidR="009770AE">
        <w:t xml:space="preserve"> </w:t>
      </w:r>
      <w:r>
        <w:t>since 1998 is shown in Figure 2</w:t>
      </w:r>
      <w:r w:rsidR="00AA1FFF">
        <w:t xml:space="preserve"> </w:t>
      </w:r>
      <w:r>
        <w:t>below.</w:t>
      </w:r>
    </w:p>
    <w:p w14:paraId="7550DD28" w14:textId="77777777" w:rsidR="00A27A60" w:rsidRDefault="00A27A60" w:rsidP="00471C3D"/>
    <w:p w14:paraId="757B0844" w14:textId="0CB94B30" w:rsidR="00720878" w:rsidRDefault="00901BC5" w:rsidP="00471C3D">
      <w:r w:rsidRPr="00C9605D">
        <w:rPr>
          <w:rFonts w:ascii="Arial Narrow" w:hAnsi="Arial Narrow"/>
          <w:noProof/>
          <w:lang w:eastAsia="en-NZ"/>
        </w:rPr>
        <w:drawing>
          <wp:inline distT="0" distB="0" distL="0" distR="0" wp14:anchorId="3B8637D8" wp14:editId="3922F510">
            <wp:extent cx="5039833" cy="2562225"/>
            <wp:effectExtent l="0" t="0" r="8890"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0BF906B4" w14:textId="17DCE26E" w:rsidR="00720878" w:rsidRDefault="00720878" w:rsidP="00471C3D"/>
    <w:p w14:paraId="140DDF9A" w14:textId="45FF6C86" w:rsidR="00720878" w:rsidRPr="00EF1ABA" w:rsidRDefault="00720878" w:rsidP="00471C3D">
      <w:pPr>
        <w:rPr>
          <w:rFonts w:ascii="Arial Narrow" w:hAnsi="Arial Narrow"/>
          <w:b/>
          <w:szCs w:val="24"/>
        </w:rPr>
      </w:pPr>
      <w:r w:rsidRPr="00EF1ABA">
        <w:rPr>
          <w:rFonts w:ascii="Arial Narrow" w:hAnsi="Arial Narrow"/>
          <w:b/>
          <w:szCs w:val="24"/>
        </w:rPr>
        <w:t xml:space="preserve">Figure 2. </w:t>
      </w:r>
      <w:r w:rsidR="00C9605D" w:rsidRPr="00EF1ABA">
        <w:rPr>
          <w:rFonts w:ascii="Arial Narrow" w:hAnsi="Arial Narrow"/>
          <w:b/>
          <w:szCs w:val="24"/>
        </w:rPr>
        <w:t>C</w:t>
      </w:r>
      <w:r w:rsidRPr="00EF1ABA">
        <w:rPr>
          <w:rFonts w:ascii="Arial Narrow" w:hAnsi="Arial Narrow"/>
          <w:b/>
          <w:szCs w:val="24"/>
        </w:rPr>
        <w:t xml:space="preserve">atch vs </w:t>
      </w:r>
      <w:r w:rsidR="007C06D6" w:rsidRPr="00EF1ABA">
        <w:rPr>
          <w:rFonts w:ascii="Arial Narrow" w:hAnsi="Arial Narrow"/>
          <w:b/>
          <w:szCs w:val="24"/>
        </w:rPr>
        <w:t xml:space="preserve">TACC </w:t>
      </w:r>
      <w:r w:rsidR="00A95671" w:rsidRPr="00EF1ABA">
        <w:rPr>
          <w:rFonts w:ascii="Arial Narrow" w:hAnsi="Arial Narrow"/>
          <w:b/>
          <w:szCs w:val="24"/>
        </w:rPr>
        <w:t xml:space="preserve">for </w:t>
      </w:r>
      <w:r w:rsidR="00C71FB1">
        <w:rPr>
          <w:rFonts w:ascii="Arial Narrow" w:hAnsi="Arial Narrow"/>
          <w:b/>
          <w:szCs w:val="24"/>
        </w:rPr>
        <w:t>RBY 3</w:t>
      </w:r>
      <w:r w:rsidRPr="00EF1ABA">
        <w:rPr>
          <w:rFonts w:ascii="Arial Narrow" w:hAnsi="Arial Narrow"/>
          <w:b/>
          <w:szCs w:val="24"/>
        </w:rPr>
        <w:t xml:space="preserve"> between 19</w:t>
      </w:r>
      <w:r w:rsidR="00901BC5" w:rsidRPr="00EF1ABA">
        <w:rPr>
          <w:rFonts w:ascii="Arial Narrow" w:hAnsi="Arial Narrow"/>
          <w:b/>
          <w:szCs w:val="24"/>
        </w:rPr>
        <w:t xml:space="preserve">98/99 and </w:t>
      </w:r>
      <w:r w:rsidRPr="00EF1ABA">
        <w:rPr>
          <w:rFonts w:ascii="Arial Narrow" w:hAnsi="Arial Narrow"/>
          <w:b/>
          <w:szCs w:val="24"/>
        </w:rPr>
        <w:t>201</w:t>
      </w:r>
      <w:r w:rsidR="00901BC5" w:rsidRPr="00EF1ABA">
        <w:rPr>
          <w:rFonts w:ascii="Arial Narrow" w:hAnsi="Arial Narrow"/>
          <w:b/>
          <w:szCs w:val="24"/>
        </w:rPr>
        <w:t>5</w:t>
      </w:r>
      <w:r w:rsidRPr="00EF1ABA">
        <w:rPr>
          <w:rFonts w:ascii="Arial Narrow" w:hAnsi="Arial Narrow"/>
          <w:b/>
          <w:szCs w:val="24"/>
        </w:rPr>
        <w:t>/1</w:t>
      </w:r>
      <w:r w:rsidR="00901BC5" w:rsidRPr="00EF1ABA">
        <w:rPr>
          <w:rFonts w:ascii="Arial Narrow" w:hAnsi="Arial Narrow"/>
          <w:b/>
          <w:szCs w:val="24"/>
        </w:rPr>
        <w:t>6 (as at April 2016)</w:t>
      </w:r>
    </w:p>
    <w:p w14:paraId="00D0F7E5" w14:textId="77777777" w:rsidR="00A95671" w:rsidRDefault="00A95671" w:rsidP="00471C3D"/>
    <w:p w14:paraId="6BC37E99" w14:textId="29798A5F" w:rsidR="00587785" w:rsidRDefault="00D15C11" w:rsidP="00471C3D">
      <w:r>
        <w:t>Figure 2</w:t>
      </w:r>
      <w:r w:rsidR="00A95671">
        <w:t xml:space="preserve"> </w:t>
      </w:r>
      <w:r w:rsidR="00901BC5">
        <w:t xml:space="preserve">shows catches of only a few hundred kg in most years. Prior to 2014/15 catch had exceeded the TACC on only two occasions (1999/00 and 2006/07). </w:t>
      </w:r>
    </w:p>
    <w:p w14:paraId="3F0C7637" w14:textId="77777777" w:rsidR="00587785" w:rsidRDefault="00587785" w:rsidP="00471C3D"/>
    <w:p w14:paraId="27B89811" w14:textId="7FDE5A13" w:rsidR="00587785" w:rsidRDefault="00901BC5" w:rsidP="00471C3D">
      <w:r>
        <w:t>In all instances where more than a few hundred kg</w:t>
      </w:r>
      <w:r w:rsidR="00EB2FF5">
        <w:t xml:space="preserve"> has been reported</w:t>
      </w:r>
      <w:r>
        <w:t>,</w:t>
      </w:r>
      <w:r w:rsidR="00EB2FF5">
        <w:t xml:space="preserve"> most catch can be traced to a very small number of fishing event</w:t>
      </w:r>
      <w:r w:rsidR="00587785">
        <w:t xml:space="preserve">s. Of the 48 tonnes of estimated catch of </w:t>
      </w:r>
      <w:r w:rsidR="00C71FB1">
        <w:t>RBY 3</w:t>
      </w:r>
      <w:r w:rsidR="00587785">
        <w:t xml:space="preserve"> reported on trawl catch effort and processing returns (TCEPRs) between 1998/99 and 2015/16, 95%</w:t>
      </w:r>
      <w:r w:rsidR="00400029">
        <w:t xml:space="preserve"> was taken on just six tows </w:t>
      </w:r>
      <w:r w:rsidR="00287C78">
        <w:t>around the Mernoo Bank. The reported target</w:t>
      </w:r>
      <w:r w:rsidR="00400029">
        <w:t xml:space="preserve"> </w:t>
      </w:r>
      <w:r w:rsidR="00287C78">
        <w:t xml:space="preserve">species for the six tows were </w:t>
      </w:r>
      <w:r w:rsidR="00400029">
        <w:t xml:space="preserve">redbait </w:t>
      </w:r>
      <w:r w:rsidR="00287C78">
        <w:t>(four tows), jack mackerel (one tow) and hoki (one tow).</w:t>
      </w:r>
      <w:r w:rsidR="00400029">
        <w:t xml:space="preserve"> </w:t>
      </w:r>
    </w:p>
    <w:p w14:paraId="36D6133F" w14:textId="77777777" w:rsidR="00313DA6" w:rsidRDefault="00313DA6" w:rsidP="00471C3D"/>
    <w:p w14:paraId="4F49557B" w14:textId="67EB7551" w:rsidR="00471C3D" w:rsidRPr="00076AC3" w:rsidRDefault="004348A5" w:rsidP="00471C3D">
      <w:pPr>
        <w:pStyle w:val="Heading2"/>
      </w:pPr>
      <w:bookmarkStart w:id="25" w:name="_Toc399138987"/>
      <w:bookmarkStart w:id="26" w:name="_Toc453052966"/>
      <w:r>
        <w:t>Previous r</w:t>
      </w:r>
      <w:r w:rsidR="00471C3D" w:rsidRPr="00076AC3">
        <w:t>eview</w:t>
      </w:r>
      <w:bookmarkEnd w:id="25"/>
      <w:bookmarkEnd w:id="26"/>
      <w:r w:rsidR="00471C3D" w:rsidRPr="00076AC3">
        <w:t xml:space="preserve"> </w:t>
      </w:r>
    </w:p>
    <w:p w14:paraId="79286FB6" w14:textId="7F14F0DC" w:rsidR="00844B86" w:rsidRPr="0071718C" w:rsidRDefault="00844B86" w:rsidP="00844B86">
      <w:r>
        <w:t xml:space="preserve">The TACC for </w:t>
      </w:r>
      <w:r w:rsidR="00C71FB1">
        <w:t>RBY 3</w:t>
      </w:r>
      <w:r>
        <w:t xml:space="preserve"> has not been reviewed since the stock was introduced into the QMS in 1998.</w:t>
      </w:r>
    </w:p>
    <w:p w14:paraId="1FE916FC" w14:textId="77777777" w:rsidR="00F0072C" w:rsidRDefault="00F0072C" w:rsidP="00471C3D"/>
    <w:p w14:paraId="18C609C3" w14:textId="618E41A6" w:rsidR="00471C3D" w:rsidRPr="00FF5B17" w:rsidRDefault="004348A5" w:rsidP="00471C3D">
      <w:pPr>
        <w:pStyle w:val="Heading2"/>
      </w:pPr>
      <w:bookmarkStart w:id="27" w:name="_Toc399138988"/>
      <w:bookmarkStart w:id="28" w:name="_Toc453052967"/>
      <w:r>
        <w:lastRenderedPageBreak/>
        <w:t>New i</w:t>
      </w:r>
      <w:r w:rsidR="00471C3D" w:rsidRPr="00FF5B17">
        <w:t>nformation</w:t>
      </w:r>
      <w:bookmarkEnd w:id="27"/>
      <w:bookmarkEnd w:id="28"/>
      <w:r w:rsidR="00471C3D" w:rsidRPr="00FF5B17">
        <w:t xml:space="preserve"> </w:t>
      </w:r>
    </w:p>
    <w:p w14:paraId="720C7549" w14:textId="23B9896A" w:rsidR="009D4882" w:rsidRDefault="00287C78" w:rsidP="00471C3D">
      <w:r>
        <w:t>Other than reported catch, t</w:t>
      </w:r>
      <w:r w:rsidR="00FF5B17">
        <w:t>he</w:t>
      </w:r>
      <w:r>
        <w:t xml:space="preserve">re is no new information </w:t>
      </w:r>
      <w:r w:rsidR="00B03CA3">
        <w:t xml:space="preserve">for the </w:t>
      </w:r>
      <w:r w:rsidR="00C71FB1">
        <w:t>RBY 3</w:t>
      </w:r>
      <w:r w:rsidR="000605CD">
        <w:t xml:space="preserve"> </w:t>
      </w:r>
      <w:r w:rsidR="00D15C11">
        <w:t>stock</w:t>
      </w:r>
      <w:r w:rsidR="00B03CA3">
        <w:t xml:space="preserve">. </w:t>
      </w:r>
      <w:r w:rsidR="00BA11ED">
        <w:t>The status of all rubyfish stocks relative to B</w:t>
      </w:r>
      <w:r w:rsidR="00BA11ED" w:rsidRPr="00BA11ED">
        <w:rPr>
          <w:vertAlign w:val="subscript"/>
        </w:rPr>
        <w:t>MSY</w:t>
      </w:r>
      <w:r w:rsidR="00BA11ED">
        <w:t xml:space="preserve"> is unknown.</w:t>
      </w:r>
      <w:r w:rsidR="00FF5B17">
        <w:t xml:space="preserve"> </w:t>
      </w:r>
    </w:p>
    <w:p w14:paraId="054E09E1" w14:textId="77777777" w:rsidR="009D4882" w:rsidRDefault="009D4882" w:rsidP="00471C3D"/>
    <w:p w14:paraId="00714F37" w14:textId="6BF58D40" w:rsidR="00471C3D" w:rsidRDefault="009D4882" w:rsidP="00471C3D">
      <w:r>
        <w:t xml:space="preserve">The highest annual catches of </w:t>
      </w:r>
      <w:r w:rsidR="000605CD">
        <w:t>both</w:t>
      </w:r>
      <w:r>
        <w:t xml:space="preserve"> stocks have been reported in the period after QMS introduction in 1998. It is unclear, however, whether this </w:t>
      </w:r>
      <w:r w:rsidR="00E3743A">
        <w:t xml:space="preserve">represents </w:t>
      </w:r>
      <w:r>
        <w:t>an increase in abundance, better reporting, or a change in fishing activity in the areas where rubyf</w:t>
      </w:r>
      <w:r w:rsidR="00D15C11">
        <w:t>ish is likely to be encountered.</w:t>
      </w:r>
      <w:r w:rsidR="00960323">
        <w:t xml:space="preserve"> However increased targeting of redbait in recent years (including increased redbait catch in RBY 3 from 2012/13) is likely to have increased the amount of rubyfish caught as bycatch.</w:t>
      </w:r>
    </w:p>
    <w:p w14:paraId="71C078FD" w14:textId="77777777" w:rsidR="00D15C11" w:rsidRDefault="00D15C11" w:rsidP="00471C3D"/>
    <w:p w14:paraId="7306ED3A" w14:textId="77777777" w:rsidR="00471C3D" w:rsidRDefault="00471C3D" w:rsidP="00471C3D">
      <w:pPr>
        <w:pStyle w:val="Heading1"/>
      </w:pPr>
      <w:bookmarkStart w:id="29" w:name="_Toc399138989"/>
      <w:bookmarkStart w:id="30" w:name="_Toc453052968"/>
      <w:r>
        <w:t>Legal Considerations</w:t>
      </w:r>
      <w:bookmarkEnd w:id="29"/>
      <w:bookmarkEnd w:id="30"/>
    </w:p>
    <w:p w14:paraId="6BC7B524" w14:textId="31611D79" w:rsidR="00471C3D" w:rsidRPr="00B222CF" w:rsidRDefault="004348A5" w:rsidP="00471C3D">
      <w:pPr>
        <w:pStyle w:val="Heading2"/>
      </w:pPr>
      <w:bookmarkStart w:id="31" w:name="_Toc453052969"/>
      <w:bookmarkStart w:id="32" w:name="_Toc399138990"/>
      <w:r>
        <w:t>S</w:t>
      </w:r>
      <w:r w:rsidR="00B222CF" w:rsidRPr="00B222CF">
        <w:t xml:space="preserve">etting </w:t>
      </w:r>
      <w:r>
        <w:t>m</w:t>
      </w:r>
      <w:r w:rsidR="00471C3D" w:rsidRPr="00B222CF">
        <w:t>anagement measures</w:t>
      </w:r>
      <w:bookmarkEnd w:id="31"/>
      <w:r w:rsidR="00471C3D" w:rsidRPr="00B222CF">
        <w:t xml:space="preserve"> </w:t>
      </w:r>
      <w:bookmarkEnd w:id="32"/>
    </w:p>
    <w:p w14:paraId="31610D9E" w14:textId="55E849D8" w:rsidR="002C5788" w:rsidRDefault="00485C0B" w:rsidP="00207B8A">
      <w:r>
        <w:t>The lack of biomass information means</w:t>
      </w:r>
      <w:r w:rsidR="002C5788">
        <w:t xml:space="preserve"> </w:t>
      </w:r>
      <w:r>
        <w:t>the</w:t>
      </w:r>
      <w:r w:rsidR="00207B8A">
        <w:t xml:space="preserve"> TAC</w:t>
      </w:r>
      <w:r>
        <w:t>s</w:t>
      </w:r>
      <w:r w:rsidR="00207B8A">
        <w:t xml:space="preserve"> for </w:t>
      </w:r>
      <w:r>
        <w:t xml:space="preserve">the </w:t>
      </w:r>
      <w:r w:rsidR="00D15C11">
        <w:t xml:space="preserve">RBY 3 </w:t>
      </w:r>
      <w:r w:rsidR="00F66098">
        <w:t>sto</w:t>
      </w:r>
      <w:r>
        <w:t>ck</w:t>
      </w:r>
      <w:r w:rsidR="00207B8A">
        <w:t xml:space="preserve"> would be set under section 13(2A) of the Act. </w:t>
      </w:r>
      <w:r w:rsidR="002C5788">
        <w:t xml:space="preserve">This section is relevant for stocks for which the </w:t>
      </w:r>
      <w:r w:rsidR="000605CD">
        <w:t>maximum sustainable yield (</w:t>
      </w:r>
      <w:r w:rsidR="002C5788">
        <w:t>MSY</w:t>
      </w:r>
      <w:r w:rsidR="000605CD">
        <w:t>)</w:t>
      </w:r>
      <w:r w:rsidR="002C5788">
        <w:t xml:space="preserve"> is not able to be reliably estimated using the best available information.</w:t>
      </w:r>
    </w:p>
    <w:p w14:paraId="0339A9F0" w14:textId="77777777" w:rsidR="002C5788" w:rsidRDefault="002C5788" w:rsidP="00207B8A"/>
    <w:p w14:paraId="68B913C3" w14:textId="1CCB26F4" w:rsidR="00592333" w:rsidRPr="002C5788" w:rsidRDefault="002C5788" w:rsidP="00592333">
      <w:r>
        <w:t>S</w:t>
      </w:r>
      <w:r w:rsidR="00207B8A">
        <w:t xml:space="preserve">ection </w:t>
      </w:r>
      <w:r>
        <w:t xml:space="preserve">13(2A) </w:t>
      </w:r>
      <w:r w:rsidR="00207B8A">
        <w:t xml:space="preserve">requires the Minister for Primary Industries (the Minister) to set a TAC that is not inconsistent with the objective of maintaining the stock at or above, or moving the stock towards or above, a level that can produce the MSY. </w:t>
      </w:r>
      <w:r w:rsidR="00592333" w:rsidRPr="00F86130">
        <w:rPr>
          <w:kern w:val="36"/>
        </w:rPr>
        <w:t>The options within this paper provide the Minister with a choice on how he fulfil</w:t>
      </w:r>
      <w:r w:rsidR="00592333">
        <w:rPr>
          <w:kern w:val="36"/>
        </w:rPr>
        <w:t xml:space="preserve">s his obligations under </w:t>
      </w:r>
      <w:r>
        <w:rPr>
          <w:kern w:val="36"/>
        </w:rPr>
        <w:t xml:space="preserve">this </w:t>
      </w:r>
      <w:r w:rsidR="00592333">
        <w:rPr>
          <w:kern w:val="36"/>
        </w:rPr>
        <w:t>section</w:t>
      </w:r>
      <w:r>
        <w:rPr>
          <w:kern w:val="36"/>
        </w:rPr>
        <w:t>.</w:t>
      </w:r>
      <w:r w:rsidR="00592333">
        <w:rPr>
          <w:kern w:val="36"/>
        </w:rPr>
        <w:t xml:space="preserve"> </w:t>
      </w:r>
      <w:r w:rsidR="00ED1A9F">
        <w:rPr>
          <w:kern w:val="36"/>
        </w:rPr>
        <w:t xml:space="preserve">Initial TACs were set at nominal levels and subsequent adjustments have occurred on a similar basis. Given the nature of the fisheries and the small increases proposed, MPI considers that options to increase the TACs for </w:t>
      </w:r>
      <w:r w:rsidR="00C71FB1">
        <w:rPr>
          <w:kern w:val="36"/>
        </w:rPr>
        <w:t>RBY 3</w:t>
      </w:r>
      <w:r w:rsidR="00ED1A9F">
        <w:rPr>
          <w:kern w:val="36"/>
        </w:rPr>
        <w:t xml:space="preserve"> are not inconsistent with the objective outlined above.</w:t>
      </w:r>
    </w:p>
    <w:p w14:paraId="1F3817CD" w14:textId="77777777" w:rsidR="00592333" w:rsidRDefault="00592333" w:rsidP="00471C3D"/>
    <w:p w14:paraId="45F5E5E5" w14:textId="77777777" w:rsidR="00F0105B" w:rsidRPr="00F86130" w:rsidRDefault="00F0105B" w:rsidP="00F0105B">
      <w:r w:rsidRPr="00F86130">
        <w:t>Under section 13(3) of the Act, relevant social, cultural and economic considerations must be considered by the Minister in determining an appropriate way and rate to move the stock towards or above a l</w:t>
      </w:r>
      <w:r>
        <w:t>evel that can produce the MSY.</w:t>
      </w:r>
    </w:p>
    <w:p w14:paraId="0581548B" w14:textId="77777777" w:rsidR="00F0105B" w:rsidRPr="00F86130" w:rsidRDefault="00F0105B" w:rsidP="00F0105B">
      <w:pPr>
        <w:rPr>
          <w:b/>
        </w:rPr>
      </w:pPr>
    </w:p>
    <w:p w14:paraId="4D94FD83" w14:textId="3A99CEA1" w:rsidR="00F0105B" w:rsidRDefault="00F0105B" w:rsidP="00F0105B">
      <w:r w:rsidRPr="00F86130">
        <w:t>The TAC must be apportioned between the relevant sectors and interests set out under the provis</w:t>
      </w:r>
      <w:r>
        <w:t xml:space="preserve">ions of section 21 of the Act. </w:t>
      </w:r>
      <w:r w:rsidRPr="00F86130">
        <w:t xml:space="preserve">Section 21 requires the Minister to allow for </w:t>
      </w:r>
      <w:r w:rsidR="00F0072C">
        <w:t>Māori</w:t>
      </w:r>
      <w:r w:rsidRPr="00F86130">
        <w:t xml:space="preserve"> customary non-commercial interests, recreational fishing interests, and for any other sources of fishing-related mortality, when setting or varying the TACC.</w:t>
      </w:r>
      <w:r w:rsidRPr="0095496E">
        <w:t xml:space="preserve"> </w:t>
      </w:r>
    </w:p>
    <w:p w14:paraId="252DE017" w14:textId="77777777" w:rsidR="00722B0C" w:rsidRDefault="00722B0C" w:rsidP="00F0105B"/>
    <w:p w14:paraId="6BFA9830" w14:textId="7A438957" w:rsidR="00722B0C" w:rsidRPr="00722B0C" w:rsidRDefault="00722B0C" w:rsidP="00F0105B">
      <w:pPr>
        <w:rPr>
          <w:szCs w:val="24"/>
        </w:rPr>
      </w:pPr>
      <w:r w:rsidRPr="00722B0C">
        <w:rPr>
          <w:szCs w:val="24"/>
        </w:rPr>
        <w:t xml:space="preserve">Section 12 (1)(b) of the Act requires that the Minister provide for the input and participation of tangata whenua and have particular regard to kaitiakitanga before setting or varying a TAC. MPI </w:t>
      </w:r>
      <w:r w:rsidRPr="00177C7A">
        <w:rPr>
          <w:szCs w:val="24"/>
        </w:rPr>
        <w:t>will provide</w:t>
      </w:r>
      <w:r w:rsidRPr="00722B0C">
        <w:rPr>
          <w:szCs w:val="24"/>
        </w:rPr>
        <w:t xml:space="preserve"> relevant Fisheries Forums opportunity for engagement on the proposed options.</w:t>
      </w:r>
    </w:p>
    <w:p w14:paraId="67CE5A16" w14:textId="77777777" w:rsidR="00F0105B" w:rsidRPr="00F86130" w:rsidRDefault="00F0105B" w:rsidP="00F0105B"/>
    <w:p w14:paraId="7262F37A" w14:textId="35ED3EA8" w:rsidR="00F0105B" w:rsidRPr="00F86130" w:rsidRDefault="00F0105B" w:rsidP="00F0105B">
      <w:r>
        <w:t>R</w:t>
      </w:r>
      <w:r w:rsidRPr="00F86130">
        <w:t xml:space="preserve">ecreational </w:t>
      </w:r>
      <w:r>
        <w:t xml:space="preserve">and customary </w:t>
      </w:r>
      <w:r w:rsidR="00F0072C">
        <w:t>Māori</w:t>
      </w:r>
      <w:r>
        <w:t xml:space="preserve"> </w:t>
      </w:r>
      <w:r w:rsidR="00485C0B">
        <w:t xml:space="preserve">allowances are currently set at zero and </w:t>
      </w:r>
      <w:r w:rsidR="00856B4A" w:rsidRPr="00F86130">
        <w:t xml:space="preserve">MPI proposes </w:t>
      </w:r>
      <w:r w:rsidR="00856B4A">
        <w:t xml:space="preserve">to retain these allowances </w:t>
      </w:r>
      <w:r w:rsidR="00485C0B">
        <w:t>f</w:t>
      </w:r>
      <w:r>
        <w:t>or all options</w:t>
      </w:r>
      <w:r w:rsidRPr="00F86130">
        <w:t>.</w:t>
      </w:r>
      <w:r w:rsidR="005A4011">
        <w:t xml:space="preserve"> Given the distance offshore and depth where this species is found, MPI considers that zero allowances are appropriate. However, MPI would welcome information from stakeholders on whether non-zero allowances should be set. </w:t>
      </w:r>
    </w:p>
    <w:p w14:paraId="59238854" w14:textId="77777777" w:rsidR="00F0105B" w:rsidRPr="00F86130" w:rsidRDefault="00F0105B" w:rsidP="00F0105B"/>
    <w:p w14:paraId="4331E5D8" w14:textId="493EE8CC" w:rsidR="00592333" w:rsidRDefault="00485C0B" w:rsidP="00F0105B">
      <w:r>
        <w:t xml:space="preserve">The allowance for </w:t>
      </w:r>
      <w:r w:rsidRPr="00F86130">
        <w:t>other sources</w:t>
      </w:r>
      <w:r>
        <w:t xml:space="preserve"> of fishing related mortality is currently set at zero for </w:t>
      </w:r>
      <w:r w:rsidR="00C71FB1">
        <w:t>RBY 3</w:t>
      </w:r>
      <w:r>
        <w:t xml:space="preserve">. </w:t>
      </w:r>
      <w:r w:rsidRPr="00F86130">
        <w:t>MPI proposes</w:t>
      </w:r>
      <w:r>
        <w:t xml:space="preserve"> that this allowance </w:t>
      </w:r>
      <w:r w:rsidR="00D15C11">
        <w:t>be</w:t>
      </w:r>
      <w:r>
        <w:t xml:space="preserve"> set at either one or two tonnes for all TAC options</w:t>
      </w:r>
      <w:r w:rsidR="008539BF">
        <w:t xml:space="preserve"> </w:t>
      </w:r>
      <w:r w:rsidR="00012C9C">
        <w:t>other</w:t>
      </w:r>
      <w:r w:rsidR="00D15C11">
        <w:t xml:space="preserve"> than the status quo option</w:t>
      </w:r>
      <w:r w:rsidR="008539BF">
        <w:t>.</w:t>
      </w:r>
      <w:r>
        <w:t xml:space="preserve"> </w:t>
      </w:r>
    </w:p>
    <w:p w14:paraId="1C750669" w14:textId="77777777" w:rsidR="00F0072C" w:rsidRPr="00592333" w:rsidRDefault="00F0072C" w:rsidP="00F0105B"/>
    <w:p w14:paraId="6C4B5573" w14:textId="28886118" w:rsidR="00471C3D" w:rsidRPr="00F0105B" w:rsidRDefault="004348A5" w:rsidP="00471C3D">
      <w:pPr>
        <w:pStyle w:val="Heading2"/>
      </w:pPr>
      <w:bookmarkStart w:id="33" w:name="_Toc399138991"/>
      <w:bookmarkStart w:id="34" w:name="_Toc453052970"/>
      <w:r>
        <w:lastRenderedPageBreak/>
        <w:t>F</w:t>
      </w:r>
      <w:r w:rsidR="00610632">
        <w:t>urther</w:t>
      </w:r>
      <w:r>
        <w:t xml:space="preserve"> c</w:t>
      </w:r>
      <w:r w:rsidR="00471C3D" w:rsidRPr="00F0105B">
        <w:t>onsiderations</w:t>
      </w:r>
      <w:bookmarkEnd w:id="33"/>
      <w:bookmarkEnd w:id="34"/>
    </w:p>
    <w:p w14:paraId="211A0FA5" w14:textId="0C886E5B" w:rsidR="00F0105B" w:rsidRPr="002E5F73" w:rsidRDefault="00F0105B" w:rsidP="00F0105B">
      <w:r w:rsidRPr="002E5F73">
        <w:t>When making a decision concerning the TAC for a stock, the Minister</w:t>
      </w:r>
      <w:r>
        <w:t xml:space="preserve"> </w:t>
      </w:r>
      <w:r w:rsidRPr="002E5F73">
        <w:t>must</w:t>
      </w:r>
      <w:r w:rsidR="005A4011">
        <w:t>, under section 12(2A),</w:t>
      </w:r>
      <w:r w:rsidRPr="002E5F73">
        <w:t xml:space="preserve"> have regard to interdependence of stocks, the biological characteristics (discussed above) and any environmental conditions affecting the stock. </w:t>
      </w:r>
    </w:p>
    <w:p w14:paraId="7FD6F1F2" w14:textId="77777777" w:rsidR="00F0105B" w:rsidRPr="002E5F73" w:rsidRDefault="00F0105B" w:rsidP="00F0105B"/>
    <w:p w14:paraId="740CDC47" w14:textId="77777777" w:rsidR="00F0105B" w:rsidRPr="002E5F73" w:rsidRDefault="00F0105B" w:rsidP="00F0105B">
      <w:r w:rsidRPr="002E5F73">
        <w:t xml:space="preserve">Sections 9(a) and (b) </w:t>
      </w:r>
      <w:r>
        <w:t xml:space="preserve">of the Act </w:t>
      </w:r>
      <w:r w:rsidRPr="002E5F73">
        <w:t>also require the Minister to take into account that associated or dependent species be maintained at or above a level that ensures their long-term viability, and that the biological diversity of the aquatic environment should be maintained.</w:t>
      </w:r>
    </w:p>
    <w:p w14:paraId="2C6B8A4D" w14:textId="77777777" w:rsidR="00471C3D" w:rsidRPr="00F0105B" w:rsidRDefault="00471C3D" w:rsidP="00471C3D"/>
    <w:p w14:paraId="34A58537" w14:textId="6E0597B6" w:rsidR="004412A2" w:rsidRDefault="00F0105B" w:rsidP="00F0105B">
      <w:r w:rsidRPr="002E5F73">
        <w:t xml:space="preserve">The key environmental interactions associated with the </w:t>
      </w:r>
      <w:r w:rsidR="000605CD">
        <w:t>two</w:t>
      </w:r>
      <w:r w:rsidR="00F66098">
        <w:t xml:space="preserve"> rubyfish </w:t>
      </w:r>
      <w:r w:rsidR="008539BF">
        <w:t>stocks</w:t>
      </w:r>
      <w:r w:rsidRPr="002E5F73">
        <w:t xml:space="preserve"> are discussed below with reference to the likely impacts of the proposed management options.</w:t>
      </w:r>
      <w:r w:rsidR="008539BF">
        <w:t xml:space="preserve"> As </w:t>
      </w:r>
      <w:r w:rsidR="00F32AB0">
        <w:t xml:space="preserve">almost </w:t>
      </w:r>
      <w:r w:rsidR="00610632">
        <w:t>all rubyfish in the</w:t>
      </w:r>
      <w:r w:rsidR="008539BF">
        <w:t xml:space="preserve"> </w:t>
      </w:r>
      <w:r w:rsidR="00610632">
        <w:t xml:space="preserve">two </w:t>
      </w:r>
      <w:r w:rsidR="008539BF">
        <w:t xml:space="preserve">areas is taken as bycatch, </w:t>
      </w:r>
      <w:r w:rsidR="00610632">
        <w:t xml:space="preserve">the proposed TAC options for both stocks are </w:t>
      </w:r>
      <w:r w:rsidR="00610632">
        <w:rPr>
          <w:szCs w:val="24"/>
          <w:lang w:val="en-GB"/>
        </w:rPr>
        <w:t>unlikely to have much, if any, influence on fishing activity.</w:t>
      </w:r>
      <w:r w:rsidR="00610632">
        <w:t xml:space="preserve"> For this reason environmental interactions are </w:t>
      </w:r>
      <w:r w:rsidR="008539BF">
        <w:t xml:space="preserve">not expected to </w:t>
      </w:r>
      <w:r w:rsidR="00C70A6B">
        <w:t>change</w:t>
      </w:r>
      <w:r w:rsidR="008539BF">
        <w:t xml:space="preserve"> if the TACs for these stocks were to increase. </w:t>
      </w:r>
    </w:p>
    <w:p w14:paraId="4CF44F45" w14:textId="77777777" w:rsidR="004412A2" w:rsidRDefault="004412A2" w:rsidP="004412A2">
      <w:pPr>
        <w:pStyle w:val="Heading3"/>
      </w:pPr>
      <w:r>
        <w:t>Seabirds</w:t>
      </w:r>
    </w:p>
    <w:p w14:paraId="1B2DC53D" w14:textId="77777777" w:rsidR="00D274A2" w:rsidRDefault="00D274A2" w:rsidP="00D274A2">
      <w:r w:rsidRPr="00AA550D">
        <w:rPr>
          <w:lang w:val="en-GB"/>
        </w:rPr>
        <w:t>Management of seabird interactions with New Zealand’s commercial fisheries is driven through the 2013 National Plan of Action to Reduce the Incidental Captures of Seabirds</w:t>
      </w:r>
      <w:r>
        <w:rPr>
          <w:lang w:val="en-GB"/>
        </w:rPr>
        <w:t xml:space="preserve"> in New Zealand fisheries (NPOA Seabirds). The NPOA Seabirds reflects New Zealand’s obligations under customary international law to take into account the effects of fishing on associated species such as seabirds.</w:t>
      </w:r>
    </w:p>
    <w:p w14:paraId="27DB4F06" w14:textId="77777777" w:rsidR="00D274A2" w:rsidRDefault="00D274A2" w:rsidP="004412A2">
      <w:pPr>
        <w:rPr>
          <w:lang w:val="en-GB"/>
        </w:rPr>
      </w:pPr>
    </w:p>
    <w:p w14:paraId="5391DE0F" w14:textId="2A3AABBE" w:rsidR="004412A2" w:rsidRPr="00AA550D" w:rsidRDefault="005A2B3B" w:rsidP="004412A2">
      <w:pPr>
        <w:rPr>
          <w:lang w:val="en-GB"/>
        </w:rPr>
      </w:pPr>
      <w:r>
        <w:rPr>
          <w:lang w:val="en-GB"/>
        </w:rPr>
        <w:t xml:space="preserve">The NPOA </w:t>
      </w:r>
      <w:r w:rsidR="004412A2" w:rsidRPr="00AA550D">
        <w:rPr>
          <w:lang w:val="en-GB"/>
        </w:rPr>
        <w:t>Seabirds has established a risk-based approach to managing fishing interactions with seabirds, targeting management actio</w:t>
      </w:r>
      <w:r w:rsidR="004412A2">
        <w:rPr>
          <w:lang w:val="en-GB"/>
        </w:rPr>
        <w:t>ns at the species most at risk as a priority but also aiming to minimise captures of all species to the extent practicable</w:t>
      </w:r>
      <w:r w:rsidR="004412A2" w:rsidRPr="00AA550D">
        <w:rPr>
          <w:lang w:val="en-GB"/>
        </w:rPr>
        <w:t xml:space="preserve">. </w:t>
      </w:r>
    </w:p>
    <w:p w14:paraId="1E00D70B" w14:textId="77777777" w:rsidR="004412A2" w:rsidRPr="00AA550D" w:rsidRDefault="004412A2" w:rsidP="004412A2">
      <w:pPr>
        <w:rPr>
          <w:lang w:val="en-GB"/>
        </w:rPr>
      </w:pPr>
    </w:p>
    <w:p w14:paraId="46A56405" w14:textId="6DE26BE1" w:rsidR="000C7401" w:rsidRDefault="004412A2" w:rsidP="000C7401">
      <w:pPr>
        <w:rPr>
          <w:szCs w:val="24"/>
          <w:lang w:val="en-GB"/>
        </w:rPr>
      </w:pPr>
      <w:r>
        <w:rPr>
          <w:lang w:val="en-GB"/>
        </w:rPr>
        <w:t>The level of risk from commercial fishing to individual seabird species has been identified through a comprehensive hierarchical risk ass</w:t>
      </w:r>
      <w:r w:rsidR="005A2B3B">
        <w:rPr>
          <w:lang w:val="en-GB"/>
        </w:rPr>
        <w:t xml:space="preserve">essment that underpins the NPOA </w:t>
      </w:r>
      <w:r>
        <w:rPr>
          <w:lang w:val="en-GB"/>
        </w:rPr>
        <w:t>Sea</w:t>
      </w:r>
      <w:r w:rsidR="008539BF">
        <w:rPr>
          <w:lang w:val="en-GB"/>
        </w:rPr>
        <w:t xml:space="preserve">birds. Seabird interactions from the target fisheries that take </w:t>
      </w:r>
      <w:r w:rsidR="00C71FB1">
        <w:rPr>
          <w:lang w:val="en-GB"/>
        </w:rPr>
        <w:t>RBY 3</w:t>
      </w:r>
      <w:r w:rsidR="008539BF">
        <w:rPr>
          <w:lang w:val="en-GB"/>
        </w:rPr>
        <w:t xml:space="preserve"> and </w:t>
      </w:r>
      <w:r w:rsidR="00C71FB1">
        <w:rPr>
          <w:lang w:val="en-GB"/>
        </w:rPr>
        <w:t>RBY 4</w:t>
      </w:r>
      <w:r w:rsidR="008539BF">
        <w:rPr>
          <w:lang w:val="en-GB"/>
        </w:rPr>
        <w:t xml:space="preserve"> as bycatch ge</w:t>
      </w:r>
      <w:r w:rsidRPr="002E5F73">
        <w:rPr>
          <w:lang w:val="en-GB"/>
        </w:rPr>
        <w:t xml:space="preserve">nerally occur at low rates, although interactions are </w:t>
      </w:r>
      <w:r w:rsidRPr="005D7242">
        <w:rPr>
          <w:szCs w:val="24"/>
          <w:lang w:val="en-GB"/>
        </w:rPr>
        <w:t xml:space="preserve">known to occur. </w:t>
      </w:r>
      <w:r w:rsidR="000C7401">
        <w:rPr>
          <w:szCs w:val="24"/>
          <w:lang w:val="en-GB"/>
        </w:rPr>
        <w:t xml:space="preserve">These fisheries </w:t>
      </w:r>
      <w:r w:rsidR="000C7401" w:rsidRPr="005D7242">
        <w:rPr>
          <w:szCs w:val="24"/>
          <w:lang w:val="en-GB"/>
        </w:rPr>
        <w:t>were assessed to contribute very low levels of risk to a small number of seabird species</w:t>
      </w:r>
      <w:r w:rsidR="000C7401">
        <w:rPr>
          <w:szCs w:val="24"/>
          <w:lang w:val="en-GB"/>
        </w:rPr>
        <w:t>.</w:t>
      </w:r>
    </w:p>
    <w:p w14:paraId="1F51F016" w14:textId="48DD369E" w:rsidR="004412A2" w:rsidRDefault="004412A2" w:rsidP="004412A2">
      <w:pPr>
        <w:rPr>
          <w:szCs w:val="24"/>
          <w:lang w:val="en-GB"/>
        </w:rPr>
      </w:pPr>
    </w:p>
    <w:p w14:paraId="677967AC" w14:textId="378B1BCF" w:rsidR="002B426F" w:rsidRPr="005D7242" w:rsidRDefault="00703CEE" w:rsidP="004412A2">
      <w:pPr>
        <w:rPr>
          <w:szCs w:val="24"/>
          <w:lang w:val="en-GB"/>
        </w:rPr>
      </w:pPr>
      <w:r w:rsidRPr="005D7242">
        <w:rPr>
          <w:szCs w:val="24"/>
          <w:lang w:val="en-GB"/>
        </w:rPr>
        <w:t xml:space="preserve">With the range of regulatory and non-regulatory measures in place, the management proposals should have no additional effects on seabirds </w:t>
      </w:r>
      <w:r>
        <w:rPr>
          <w:szCs w:val="24"/>
          <w:lang w:val="en-GB"/>
        </w:rPr>
        <w:t>as effort is unlik</w:t>
      </w:r>
      <w:r w:rsidR="00C70A6B">
        <w:rPr>
          <w:szCs w:val="24"/>
          <w:lang w:val="en-GB"/>
        </w:rPr>
        <w:t>ely to change</w:t>
      </w:r>
      <w:r>
        <w:rPr>
          <w:szCs w:val="24"/>
          <w:lang w:val="en-GB"/>
        </w:rPr>
        <w:t>.</w:t>
      </w:r>
    </w:p>
    <w:p w14:paraId="7C70D519" w14:textId="77777777" w:rsidR="00471C3D" w:rsidRDefault="00703CEE" w:rsidP="00703CEE">
      <w:pPr>
        <w:pStyle w:val="Heading3"/>
      </w:pPr>
      <w:r>
        <w:t>Fish bycatch</w:t>
      </w:r>
    </w:p>
    <w:p w14:paraId="453802B7" w14:textId="3D8B6783" w:rsidR="0025606C" w:rsidRDefault="00F32AB0" w:rsidP="00703CEE">
      <w:r>
        <w:t xml:space="preserve">Rubyfish is not targeted in </w:t>
      </w:r>
      <w:r w:rsidR="00C71FB1">
        <w:rPr>
          <w:szCs w:val="24"/>
          <w:lang w:val="en-GB"/>
        </w:rPr>
        <w:t>RBY 3</w:t>
      </w:r>
      <w:r w:rsidR="00C70A6B">
        <w:rPr>
          <w:szCs w:val="24"/>
          <w:lang w:val="en-GB"/>
        </w:rPr>
        <w:t xml:space="preserve">. For this reason </w:t>
      </w:r>
      <w:r w:rsidR="00C70A6B">
        <w:t xml:space="preserve">fish bycatch is not expected to change </w:t>
      </w:r>
      <w:r w:rsidR="00A3331E">
        <w:t xml:space="preserve">regardless of the </w:t>
      </w:r>
      <w:r w:rsidR="00115D82">
        <w:t xml:space="preserve">TAC </w:t>
      </w:r>
      <w:r w:rsidR="00A3331E">
        <w:t>options.</w:t>
      </w:r>
    </w:p>
    <w:p w14:paraId="10CCF30F" w14:textId="77777777" w:rsidR="0025606C" w:rsidRDefault="0025606C" w:rsidP="0025606C">
      <w:pPr>
        <w:pStyle w:val="Heading3"/>
      </w:pPr>
      <w:r>
        <w:t xml:space="preserve">Marine mammals </w:t>
      </w:r>
    </w:p>
    <w:p w14:paraId="2195525B" w14:textId="2302E06A" w:rsidR="0052013F" w:rsidRDefault="0052013F" w:rsidP="0052013F">
      <w:r>
        <w:t>The capture rate of marine mammals (</w:t>
      </w:r>
      <w:r w:rsidR="00C70A6B">
        <w:t xml:space="preserve">fur seals and dolphins) in the </w:t>
      </w:r>
      <w:r w:rsidR="00C71FB1">
        <w:t>RBY 3</w:t>
      </w:r>
      <w:r w:rsidR="00D15C11">
        <w:t xml:space="preserve"> QMA</w:t>
      </w:r>
      <w:r w:rsidR="00CA5076">
        <w:t xml:space="preserve"> is low</w:t>
      </w:r>
      <w:r w:rsidR="00400FD0">
        <w:t xml:space="preserve"> </w:t>
      </w:r>
      <w:r w:rsidR="00CA5076">
        <w:t>and</w:t>
      </w:r>
      <w:r w:rsidR="00400FD0">
        <w:t xml:space="preserve"> i</w:t>
      </w:r>
      <w:r>
        <w:t>t is not thought that the rate of captures is having an adverse effect of the populations of these species.</w:t>
      </w:r>
      <w:r w:rsidR="00400FD0">
        <w:t xml:space="preserve"> </w:t>
      </w:r>
    </w:p>
    <w:p w14:paraId="726C1659" w14:textId="5A47BA90" w:rsidR="0052013F" w:rsidRDefault="0052013F" w:rsidP="0052013F"/>
    <w:p w14:paraId="37A23ECE" w14:textId="143A0F97" w:rsidR="006C65ED" w:rsidRDefault="00610632" w:rsidP="0052013F">
      <w:pPr>
        <w:rPr>
          <w:lang w:val="en-GB"/>
        </w:rPr>
      </w:pPr>
      <w:r>
        <w:rPr>
          <w:szCs w:val="24"/>
          <w:lang w:val="en-GB"/>
        </w:rPr>
        <w:t xml:space="preserve">The </w:t>
      </w:r>
      <w:r w:rsidR="00CA5076">
        <w:rPr>
          <w:szCs w:val="24"/>
          <w:lang w:val="en-GB"/>
        </w:rPr>
        <w:t xml:space="preserve">management proposals should have </w:t>
      </w:r>
      <w:r w:rsidR="00CA5076" w:rsidRPr="005D7242">
        <w:rPr>
          <w:szCs w:val="24"/>
          <w:lang w:val="en-GB"/>
        </w:rPr>
        <w:t>n</w:t>
      </w:r>
      <w:r w:rsidR="00CA5076">
        <w:rPr>
          <w:szCs w:val="24"/>
          <w:lang w:val="en-GB"/>
        </w:rPr>
        <w:t>o additional effects on marine mammals</w:t>
      </w:r>
      <w:r>
        <w:rPr>
          <w:szCs w:val="24"/>
          <w:lang w:val="en-GB"/>
        </w:rPr>
        <w:t xml:space="preserve"> as fishing effort is not expected to change</w:t>
      </w:r>
      <w:r w:rsidR="00CA5076">
        <w:rPr>
          <w:szCs w:val="24"/>
          <w:lang w:val="en-GB"/>
        </w:rPr>
        <w:t>.</w:t>
      </w:r>
    </w:p>
    <w:p w14:paraId="66504305" w14:textId="77777777" w:rsidR="006C65ED" w:rsidRDefault="006C65ED" w:rsidP="006C65ED">
      <w:pPr>
        <w:pStyle w:val="Heading3"/>
      </w:pPr>
      <w:r>
        <w:t>Benthic impacts</w:t>
      </w:r>
    </w:p>
    <w:p w14:paraId="3027FD05" w14:textId="725413B0" w:rsidR="006C65ED" w:rsidRDefault="00C70A6B" w:rsidP="006C65ED">
      <w:r>
        <w:t xml:space="preserve">Since QMS introduction in 1998, </w:t>
      </w:r>
      <w:r w:rsidR="00CA5076">
        <w:t>over 7</w:t>
      </w:r>
      <w:r>
        <w:t xml:space="preserve">0% of rubyfish taken in </w:t>
      </w:r>
      <w:r w:rsidR="00C71FB1">
        <w:t>RBY 3</w:t>
      </w:r>
      <w:r>
        <w:t xml:space="preserve"> has been taken </w:t>
      </w:r>
      <w:r w:rsidR="00912671">
        <w:t xml:space="preserve">using mid-water trawl gear </w:t>
      </w:r>
      <w:r w:rsidR="00DE71E5">
        <w:t xml:space="preserve">that is fished on </w:t>
      </w:r>
      <w:r w:rsidR="00B31EA0">
        <w:t xml:space="preserve">or close to </w:t>
      </w:r>
      <w:r w:rsidR="00DE71E5">
        <w:t xml:space="preserve">the bottom. </w:t>
      </w:r>
    </w:p>
    <w:p w14:paraId="2B2A401A" w14:textId="77777777" w:rsidR="00F466BD" w:rsidRDefault="00F466BD" w:rsidP="00185CEB"/>
    <w:p w14:paraId="0EE9E237" w14:textId="4B7C310F" w:rsidR="00F466BD" w:rsidRPr="00F466BD" w:rsidRDefault="00ED1A9F" w:rsidP="00F466BD">
      <w:r>
        <w:lastRenderedPageBreak/>
        <w:t xml:space="preserve">The increases in TAC proposed for </w:t>
      </w:r>
      <w:r w:rsidR="00D15C11">
        <w:t>the RBY 3 stock</w:t>
      </w:r>
      <w:r>
        <w:t xml:space="preserve"> are unlikely to change the nature of the fisheries of which</w:t>
      </w:r>
      <w:r w:rsidR="00D15C11">
        <w:t xml:space="preserve"> rubyfish in</w:t>
      </w:r>
      <w:r>
        <w:t xml:space="preserve"> </w:t>
      </w:r>
      <w:r w:rsidR="00C71FB1">
        <w:t>RBY 3</w:t>
      </w:r>
      <w:r w:rsidR="00D15C11">
        <w:t xml:space="preserve"> is</w:t>
      </w:r>
      <w:r>
        <w:t xml:space="preserve"> a bycatch</w:t>
      </w:r>
      <w:r w:rsidR="00D15C11">
        <w:t xml:space="preserve">. </w:t>
      </w:r>
      <w:r w:rsidR="00F466BD" w:rsidRPr="00F466BD">
        <w:t xml:space="preserve">MPI will continue to monitor the trawl footprint of </w:t>
      </w:r>
      <w:r w:rsidR="007878CA">
        <w:t xml:space="preserve">all </w:t>
      </w:r>
      <w:r w:rsidR="007878CA" w:rsidRPr="00F466BD">
        <w:t>deepwater fisheries</w:t>
      </w:r>
      <w:r w:rsidR="007878CA">
        <w:t>, including</w:t>
      </w:r>
      <w:r w:rsidR="007878CA" w:rsidRPr="00F466BD">
        <w:t xml:space="preserve"> </w:t>
      </w:r>
      <w:r w:rsidR="00F466BD" w:rsidRPr="00F466BD">
        <w:t>th</w:t>
      </w:r>
      <w:r w:rsidR="007878CA">
        <w:t>ose</w:t>
      </w:r>
      <w:r w:rsidR="00F466BD" w:rsidRPr="00F466BD">
        <w:t xml:space="preserve"> </w:t>
      </w:r>
      <w:r w:rsidR="007878CA">
        <w:t>that take rubyfish as bycatch,</w:t>
      </w:r>
      <w:r w:rsidR="00F466BD" w:rsidRPr="00F466BD">
        <w:t xml:space="preserve"> </w:t>
      </w:r>
      <w:r w:rsidR="007878CA">
        <w:t>on an</w:t>
      </w:r>
      <w:r w:rsidR="00F466BD" w:rsidRPr="00F466BD">
        <w:t xml:space="preserve"> annual</w:t>
      </w:r>
      <w:r w:rsidR="007878CA">
        <w:t xml:space="preserve"> basis</w:t>
      </w:r>
      <w:r w:rsidR="00F466BD" w:rsidRPr="00F466BD">
        <w:t xml:space="preserve">. </w:t>
      </w:r>
    </w:p>
    <w:p w14:paraId="3D98175F" w14:textId="77777777" w:rsidR="00185CEB" w:rsidRPr="006C65ED" w:rsidRDefault="00185CEB" w:rsidP="006C65ED"/>
    <w:p w14:paraId="0EC5649E" w14:textId="77777777" w:rsidR="00471C3D" w:rsidRDefault="00471C3D" w:rsidP="00471C3D">
      <w:pPr>
        <w:pStyle w:val="Heading1"/>
      </w:pPr>
      <w:bookmarkStart w:id="35" w:name="_Toc398800959"/>
      <w:bookmarkStart w:id="36" w:name="_Toc398801135"/>
      <w:bookmarkStart w:id="37" w:name="_Toc399138993"/>
      <w:bookmarkStart w:id="38" w:name="_Toc399398694"/>
      <w:bookmarkStart w:id="39" w:name="_Toc399138994"/>
      <w:bookmarkStart w:id="40" w:name="_Toc450049229"/>
      <w:bookmarkStart w:id="41" w:name="_Toc453052971"/>
      <w:bookmarkEnd w:id="35"/>
      <w:bookmarkEnd w:id="36"/>
      <w:bookmarkEnd w:id="37"/>
      <w:bookmarkEnd w:id="38"/>
      <w:r>
        <w:t>Proposed Options</w:t>
      </w:r>
      <w:bookmarkEnd w:id="39"/>
      <w:bookmarkEnd w:id="40"/>
      <w:bookmarkEnd w:id="41"/>
    </w:p>
    <w:p w14:paraId="7B6D4504" w14:textId="7882E795" w:rsidR="00696891" w:rsidRDefault="00F466BD" w:rsidP="00471C3D">
      <w:r>
        <w:t xml:space="preserve">MPI is consulting on the options set out in Table </w:t>
      </w:r>
      <w:r w:rsidR="00696891">
        <w:t>3</w:t>
      </w:r>
      <w:r>
        <w:t xml:space="preserve">. </w:t>
      </w:r>
      <w:r w:rsidR="003E31BD">
        <w:t>Aside from the status quo, a</w:t>
      </w:r>
      <w:r w:rsidR="001C5776">
        <w:t xml:space="preserve">ll options involve </w:t>
      </w:r>
      <w:r w:rsidR="002B426F">
        <w:t xml:space="preserve">comparatively </w:t>
      </w:r>
      <w:r w:rsidR="003E31BD">
        <w:t>modest increases</w:t>
      </w:r>
      <w:r w:rsidR="001C5776">
        <w:t xml:space="preserve"> to </w:t>
      </w:r>
      <w:r w:rsidR="002C5788">
        <w:t>catch limit</w:t>
      </w:r>
      <w:r w:rsidR="003E31BD">
        <w:t>s</w:t>
      </w:r>
      <w:r w:rsidR="00400FD0" w:rsidRPr="00400FD0">
        <w:t xml:space="preserve"> </w:t>
      </w:r>
      <w:r w:rsidR="00400FD0">
        <w:t xml:space="preserve">for the </w:t>
      </w:r>
      <w:r w:rsidR="002B426F">
        <w:t>stock</w:t>
      </w:r>
      <w:r w:rsidR="00696891">
        <w:t xml:space="preserve">. MPI also proposes retaining the existing zero allowance for customary </w:t>
      </w:r>
      <w:r w:rsidR="00F0072C">
        <w:t>Māori</w:t>
      </w:r>
      <w:r w:rsidR="00696891">
        <w:t xml:space="preserve"> and recreational fisheries</w:t>
      </w:r>
      <w:r w:rsidR="00FD63C6">
        <w:t>.</w:t>
      </w:r>
      <w:r w:rsidR="00696891">
        <w:t xml:space="preserve"> </w:t>
      </w:r>
      <w:r w:rsidR="00D15C11">
        <w:t>A small (one or two tonne</w:t>
      </w:r>
      <w:r w:rsidR="00696891">
        <w:t>) allowance for other sources of fishing</w:t>
      </w:r>
      <w:r w:rsidR="00FD63C6">
        <w:t>-related mortality is proposed to account for unreported mortality of fish that, for example, are lost from the net during hauling and are not reported by vessel operators.</w:t>
      </w:r>
    </w:p>
    <w:p w14:paraId="044C37FD" w14:textId="77777777" w:rsidR="00696891" w:rsidRDefault="00696891" w:rsidP="00471C3D"/>
    <w:p w14:paraId="45B1B15A" w14:textId="2C054175" w:rsidR="001C5776" w:rsidRDefault="00FD63C6" w:rsidP="00471C3D">
      <w:r>
        <w:t xml:space="preserve">In the absence of abundance information, catch of rubyfish reported </w:t>
      </w:r>
      <w:r w:rsidR="003E31BD">
        <w:t>in recent years is used as t</w:t>
      </w:r>
      <w:r w:rsidR="002C5788">
        <w:t xml:space="preserve">he </w:t>
      </w:r>
      <w:r w:rsidR="003E31BD">
        <w:t xml:space="preserve">basis for the </w:t>
      </w:r>
      <w:r w:rsidR="002C5788">
        <w:t xml:space="preserve">proposed </w:t>
      </w:r>
      <w:r w:rsidR="001B5B3B">
        <w:t>options, which MPI considers are not inconsistent with the objective prescribed for these stocks.</w:t>
      </w:r>
    </w:p>
    <w:p w14:paraId="147D90F8" w14:textId="77777777" w:rsidR="002425EA" w:rsidRDefault="002425EA" w:rsidP="00471C3D"/>
    <w:p w14:paraId="0A54A448" w14:textId="71D19870" w:rsidR="002425EA" w:rsidRDefault="002425EA" w:rsidP="00471C3D">
      <w:r>
        <w:t>MPI has little information on the value of rubyfish. It is not identified as a separate species in export statistics and the 2016/17 port price survey indicated considerable variation between stocks</w:t>
      </w:r>
      <w:r w:rsidR="0057174E">
        <w:t>;</w:t>
      </w:r>
      <w:r>
        <w:t xml:space="preserve"> from a low of $0.25/kg for </w:t>
      </w:r>
      <w:r w:rsidR="00C71FB1">
        <w:t>RBY 4</w:t>
      </w:r>
      <w:r>
        <w:t xml:space="preserve"> to a high of $2.29/kg for RBY</w:t>
      </w:r>
      <w:r w:rsidR="00121818">
        <w:t xml:space="preserve"> </w:t>
      </w:r>
      <w:r>
        <w:t>1 and a weighted average for the species of $1.88/kg.</w:t>
      </w:r>
    </w:p>
    <w:p w14:paraId="062F61F3" w14:textId="77777777" w:rsidR="002425EA" w:rsidRDefault="002425EA" w:rsidP="00471C3D"/>
    <w:p w14:paraId="7C08454E" w14:textId="25E33243" w:rsidR="002425EA" w:rsidRDefault="0057174E" w:rsidP="00471C3D">
      <w:r>
        <w:t xml:space="preserve">MPI understands that rubyfish is not a particularly valuable species and is worth considerably less than alfonsino, the target fishery where rubyfish is most commonly taken as bycatch. For this reason, together with the relatively small quantities that are caught in </w:t>
      </w:r>
      <w:r w:rsidR="00C71FB1">
        <w:t>RBY 3</w:t>
      </w:r>
      <w:r>
        <w:t xml:space="preserve">, even the highest </w:t>
      </w:r>
      <w:r w:rsidR="0082446C">
        <w:t xml:space="preserve">TAC </w:t>
      </w:r>
      <w:r>
        <w:t xml:space="preserve">options proposed probably only equate to </w:t>
      </w:r>
      <w:r w:rsidR="00C627FD">
        <w:t>a few tens of thousands of dollars in additional revenue for the fishing industry. MPI welcomes any additional information from stakeholders on the value of this species.</w:t>
      </w:r>
    </w:p>
    <w:p w14:paraId="3FD12960" w14:textId="3D44B1A6" w:rsidR="0057174E" w:rsidRDefault="0057174E">
      <w:pPr>
        <w:rPr>
          <w:rFonts w:ascii="Arial Narrow" w:hAnsi="Arial Narrow"/>
          <w:b/>
          <w:szCs w:val="24"/>
        </w:rPr>
      </w:pPr>
    </w:p>
    <w:p w14:paraId="606A8E43" w14:textId="646CEE3C" w:rsidR="00696891" w:rsidRPr="001D3887" w:rsidRDefault="00696891" w:rsidP="00696891">
      <w:pPr>
        <w:rPr>
          <w:rFonts w:ascii="Arial Narrow" w:hAnsi="Arial Narrow"/>
          <w:b/>
          <w:szCs w:val="24"/>
        </w:rPr>
      </w:pPr>
      <w:r w:rsidRPr="001D3887">
        <w:rPr>
          <w:rFonts w:ascii="Arial Narrow" w:hAnsi="Arial Narrow"/>
          <w:b/>
          <w:szCs w:val="24"/>
        </w:rPr>
        <w:t xml:space="preserve">Table </w:t>
      </w:r>
      <w:r>
        <w:rPr>
          <w:rFonts w:ascii="Arial Narrow" w:hAnsi="Arial Narrow"/>
          <w:b/>
          <w:szCs w:val="24"/>
        </w:rPr>
        <w:t>3</w:t>
      </w:r>
      <w:r w:rsidRPr="001D3887">
        <w:rPr>
          <w:rFonts w:ascii="Arial Narrow" w:hAnsi="Arial Narrow"/>
          <w:b/>
          <w:szCs w:val="24"/>
        </w:rPr>
        <w:t xml:space="preserve">. Proposed TACs, TACCs and allowances for </w:t>
      </w:r>
      <w:r w:rsidR="00C71FB1">
        <w:rPr>
          <w:rFonts w:ascii="Arial Narrow" w:hAnsi="Arial Narrow"/>
          <w:b/>
          <w:szCs w:val="24"/>
        </w:rPr>
        <w:t>RBY 3</w:t>
      </w:r>
      <w:r>
        <w:rPr>
          <w:rFonts w:ascii="Arial Narrow" w:hAnsi="Arial Narrow"/>
          <w:b/>
          <w:szCs w:val="24"/>
        </w:rPr>
        <w:t xml:space="preserve"> </w:t>
      </w:r>
      <w:r w:rsidR="005A2B3B">
        <w:rPr>
          <w:rFonts w:ascii="Arial Narrow" w:hAnsi="Arial Narrow"/>
          <w:b/>
          <w:szCs w:val="24"/>
        </w:rPr>
        <w:t xml:space="preserve">(all </w:t>
      </w:r>
      <w:r w:rsidR="00D15C11">
        <w:rPr>
          <w:rFonts w:ascii="Arial Narrow" w:hAnsi="Arial Narrow"/>
          <w:b/>
          <w:szCs w:val="24"/>
        </w:rPr>
        <w:t>values</w:t>
      </w:r>
      <w:r w:rsidR="005A2B3B">
        <w:rPr>
          <w:rFonts w:ascii="Arial Narrow" w:hAnsi="Arial Narrow"/>
          <w:b/>
          <w:szCs w:val="24"/>
        </w:rPr>
        <w:t xml:space="preserve"> in tonnes)</w:t>
      </w:r>
    </w:p>
    <w:tbl>
      <w:tblPr>
        <w:tblpPr w:leftFromText="180" w:rightFromText="180" w:vertAnchor="text" w:horzAnchor="margin" w:tblpY="96"/>
        <w:tblW w:w="5000" w:type="pct"/>
        <w:tblLook w:val="00A0" w:firstRow="1" w:lastRow="0" w:firstColumn="1" w:lastColumn="0" w:noHBand="0" w:noVBand="0"/>
      </w:tblPr>
      <w:tblGrid>
        <w:gridCol w:w="1840"/>
        <w:gridCol w:w="854"/>
        <w:gridCol w:w="851"/>
        <w:gridCol w:w="1558"/>
        <w:gridCol w:w="1275"/>
        <w:gridCol w:w="2692"/>
      </w:tblGrid>
      <w:tr w:rsidR="00D15C11" w:rsidRPr="0029325B" w14:paraId="12F88049" w14:textId="77777777" w:rsidTr="00D15C11">
        <w:trPr>
          <w:trHeight w:val="20"/>
        </w:trPr>
        <w:tc>
          <w:tcPr>
            <w:tcW w:w="1014" w:type="pct"/>
            <w:vMerge w:val="restart"/>
            <w:tcBorders>
              <w:top w:val="single" w:sz="4" w:space="0" w:color="auto"/>
            </w:tcBorders>
            <w:vAlign w:val="center"/>
          </w:tcPr>
          <w:p w14:paraId="65992E90" w14:textId="77777777" w:rsidR="00D15C11" w:rsidRPr="0029325B" w:rsidRDefault="00D15C11" w:rsidP="00D274A2">
            <w:pPr>
              <w:pStyle w:val="FAPHeadingThree"/>
              <w:jc w:val="left"/>
              <w:rPr>
                <w:rFonts w:ascii="Arial Narrow" w:hAnsi="Arial Narrow" w:cs="Times New Roman"/>
                <w:b/>
                <w:i w:val="0"/>
                <w:sz w:val="20"/>
                <w:szCs w:val="20"/>
                <w:u w:val="none"/>
              </w:rPr>
            </w:pPr>
            <w:r>
              <w:rPr>
                <w:rFonts w:ascii="Arial Narrow" w:hAnsi="Arial Narrow" w:cs="Times New Roman"/>
                <w:b/>
                <w:i w:val="0"/>
                <w:sz w:val="20"/>
                <w:szCs w:val="20"/>
                <w:u w:val="none"/>
              </w:rPr>
              <w:t>Option</w:t>
            </w:r>
          </w:p>
        </w:tc>
        <w:tc>
          <w:tcPr>
            <w:tcW w:w="940" w:type="pct"/>
            <w:gridSpan w:val="2"/>
            <w:tcBorders>
              <w:top w:val="single" w:sz="4" w:space="0" w:color="auto"/>
              <w:right w:val="single" w:sz="4" w:space="0" w:color="auto"/>
            </w:tcBorders>
            <w:vAlign w:val="center"/>
          </w:tcPr>
          <w:p w14:paraId="409C2DE4" w14:textId="77777777" w:rsidR="00D15C11" w:rsidRPr="0029325B" w:rsidRDefault="00D15C11" w:rsidP="00D274A2">
            <w:pPr>
              <w:pStyle w:val="FAPHeadingThree"/>
              <w:jc w:val="center"/>
              <w:rPr>
                <w:rFonts w:ascii="Arial Narrow" w:hAnsi="Arial Narrow" w:cs="Times New Roman"/>
                <w:b/>
                <w:i w:val="0"/>
                <w:sz w:val="20"/>
                <w:szCs w:val="20"/>
                <w:u w:val="none"/>
              </w:rPr>
            </w:pPr>
          </w:p>
        </w:tc>
        <w:tc>
          <w:tcPr>
            <w:tcW w:w="3046" w:type="pct"/>
            <w:gridSpan w:val="3"/>
            <w:tcBorders>
              <w:top w:val="single" w:sz="4" w:space="0" w:color="auto"/>
              <w:left w:val="single" w:sz="4" w:space="0" w:color="auto"/>
              <w:bottom w:val="single" w:sz="4" w:space="0" w:color="auto"/>
            </w:tcBorders>
            <w:vAlign w:val="center"/>
          </w:tcPr>
          <w:p w14:paraId="42996D07" w14:textId="77777777" w:rsidR="00D15C11" w:rsidRPr="0029325B" w:rsidRDefault="00D15C11" w:rsidP="00D274A2">
            <w:pPr>
              <w:pStyle w:val="FAPHeadingThree"/>
              <w:jc w:val="center"/>
              <w:rPr>
                <w:rFonts w:ascii="Arial Narrow" w:hAnsi="Arial Narrow" w:cs="Times New Roman"/>
                <w:b/>
                <w:i w:val="0"/>
                <w:sz w:val="20"/>
                <w:szCs w:val="20"/>
                <w:u w:val="none"/>
              </w:rPr>
            </w:pPr>
            <w:r>
              <w:rPr>
                <w:rFonts w:ascii="Arial Narrow" w:hAnsi="Arial Narrow" w:cs="Times New Roman"/>
                <w:b/>
                <w:i w:val="0"/>
                <w:sz w:val="20"/>
                <w:szCs w:val="20"/>
                <w:u w:val="none"/>
              </w:rPr>
              <w:t>Allowances</w:t>
            </w:r>
          </w:p>
        </w:tc>
      </w:tr>
      <w:tr w:rsidR="00D15C11" w:rsidRPr="0029325B" w14:paraId="533A56A1" w14:textId="77777777" w:rsidTr="00D15C11">
        <w:trPr>
          <w:trHeight w:val="20"/>
        </w:trPr>
        <w:tc>
          <w:tcPr>
            <w:tcW w:w="1014" w:type="pct"/>
            <w:vMerge/>
            <w:tcBorders>
              <w:bottom w:val="single" w:sz="4" w:space="0" w:color="auto"/>
            </w:tcBorders>
            <w:vAlign w:val="center"/>
          </w:tcPr>
          <w:p w14:paraId="5066E182" w14:textId="77777777" w:rsidR="00D15C11" w:rsidRPr="0029325B" w:rsidRDefault="00D15C11" w:rsidP="00D274A2">
            <w:pPr>
              <w:pStyle w:val="FAPHeadingThree"/>
              <w:jc w:val="left"/>
              <w:rPr>
                <w:rFonts w:ascii="Arial Narrow" w:hAnsi="Arial Narrow" w:cs="Times New Roman"/>
                <w:b/>
                <w:i w:val="0"/>
                <w:sz w:val="20"/>
                <w:szCs w:val="20"/>
                <w:u w:val="none"/>
              </w:rPr>
            </w:pPr>
          </w:p>
        </w:tc>
        <w:tc>
          <w:tcPr>
            <w:tcW w:w="471" w:type="pct"/>
            <w:tcBorders>
              <w:bottom w:val="single" w:sz="4" w:space="0" w:color="auto"/>
            </w:tcBorders>
            <w:vAlign w:val="center"/>
          </w:tcPr>
          <w:p w14:paraId="15E60AF3" w14:textId="77777777" w:rsidR="00D15C11" w:rsidRPr="0029325B" w:rsidRDefault="00D15C11" w:rsidP="00D274A2">
            <w:pPr>
              <w:pStyle w:val="FAPHeadingThree"/>
              <w:jc w:val="right"/>
              <w:rPr>
                <w:rFonts w:ascii="Arial Narrow" w:hAnsi="Arial Narrow" w:cs="Times New Roman"/>
                <w:b/>
                <w:i w:val="0"/>
                <w:sz w:val="20"/>
                <w:szCs w:val="20"/>
                <w:u w:val="none"/>
              </w:rPr>
            </w:pPr>
            <w:r>
              <w:rPr>
                <w:rFonts w:ascii="Arial Narrow" w:hAnsi="Arial Narrow" w:cs="Times New Roman"/>
                <w:b/>
                <w:i w:val="0"/>
                <w:sz w:val="20"/>
                <w:szCs w:val="20"/>
                <w:u w:val="none"/>
              </w:rPr>
              <w:t xml:space="preserve">TAC </w:t>
            </w:r>
          </w:p>
        </w:tc>
        <w:tc>
          <w:tcPr>
            <w:tcW w:w="469" w:type="pct"/>
            <w:tcBorders>
              <w:bottom w:val="single" w:sz="4" w:space="0" w:color="auto"/>
            </w:tcBorders>
            <w:vAlign w:val="center"/>
          </w:tcPr>
          <w:p w14:paraId="353ED422" w14:textId="77777777" w:rsidR="00D15C11" w:rsidRPr="0029325B" w:rsidRDefault="00D15C11" w:rsidP="00D274A2">
            <w:pPr>
              <w:pStyle w:val="FAPHeadingThree"/>
              <w:jc w:val="right"/>
              <w:rPr>
                <w:rFonts w:ascii="Arial Narrow" w:hAnsi="Arial Narrow" w:cs="Times New Roman"/>
                <w:b/>
                <w:i w:val="0"/>
                <w:sz w:val="20"/>
                <w:szCs w:val="20"/>
                <w:u w:val="none"/>
              </w:rPr>
            </w:pPr>
            <w:r>
              <w:rPr>
                <w:rFonts w:ascii="Arial Narrow" w:hAnsi="Arial Narrow" w:cs="Times New Roman"/>
                <w:b/>
                <w:i w:val="0"/>
                <w:sz w:val="20"/>
                <w:szCs w:val="20"/>
                <w:u w:val="none"/>
              </w:rPr>
              <w:t xml:space="preserve">TACC </w:t>
            </w:r>
          </w:p>
        </w:tc>
        <w:tc>
          <w:tcPr>
            <w:tcW w:w="859" w:type="pct"/>
            <w:tcBorders>
              <w:top w:val="single" w:sz="4" w:space="0" w:color="auto"/>
              <w:bottom w:val="single" w:sz="4" w:space="0" w:color="auto"/>
            </w:tcBorders>
            <w:vAlign w:val="center"/>
          </w:tcPr>
          <w:p w14:paraId="465CFD9C" w14:textId="77777777" w:rsidR="00D15C11" w:rsidRPr="0029325B" w:rsidRDefault="00D15C11" w:rsidP="00D274A2">
            <w:pPr>
              <w:pStyle w:val="FAPHeadingThree"/>
              <w:jc w:val="right"/>
              <w:rPr>
                <w:rFonts w:ascii="Arial Narrow" w:hAnsi="Arial Narrow" w:cs="Times New Roman"/>
                <w:b/>
                <w:i w:val="0"/>
                <w:sz w:val="20"/>
                <w:szCs w:val="20"/>
                <w:u w:val="none"/>
              </w:rPr>
            </w:pPr>
            <w:r>
              <w:rPr>
                <w:rFonts w:ascii="Arial Narrow" w:hAnsi="Arial Narrow" w:cs="Times New Roman"/>
                <w:b/>
                <w:i w:val="0"/>
                <w:sz w:val="20"/>
                <w:szCs w:val="20"/>
                <w:u w:val="none"/>
              </w:rPr>
              <w:t xml:space="preserve">Customary Māori </w:t>
            </w:r>
          </w:p>
        </w:tc>
        <w:tc>
          <w:tcPr>
            <w:tcW w:w="703" w:type="pct"/>
            <w:tcBorders>
              <w:top w:val="single" w:sz="4" w:space="0" w:color="auto"/>
              <w:bottom w:val="single" w:sz="4" w:space="0" w:color="auto"/>
            </w:tcBorders>
            <w:vAlign w:val="center"/>
          </w:tcPr>
          <w:p w14:paraId="787A1AAB" w14:textId="77777777" w:rsidR="00D15C11" w:rsidRPr="0029325B" w:rsidRDefault="00D15C11" w:rsidP="00D274A2">
            <w:pPr>
              <w:pStyle w:val="FAPHeadingThree"/>
              <w:jc w:val="right"/>
              <w:rPr>
                <w:rFonts w:ascii="Arial Narrow" w:hAnsi="Arial Narrow" w:cs="Times New Roman"/>
                <w:b/>
                <w:i w:val="0"/>
                <w:sz w:val="20"/>
                <w:szCs w:val="20"/>
                <w:u w:val="none"/>
              </w:rPr>
            </w:pPr>
            <w:r>
              <w:rPr>
                <w:rFonts w:ascii="Arial Narrow" w:hAnsi="Arial Narrow" w:cs="Times New Roman"/>
                <w:b/>
                <w:i w:val="0"/>
                <w:sz w:val="20"/>
                <w:szCs w:val="20"/>
                <w:u w:val="none"/>
              </w:rPr>
              <w:t xml:space="preserve">Recreational </w:t>
            </w:r>
          </w:p>
        </w:tc>
        <w:tc>
          <w:tcPr>
            <w:tcW w:w="1484" w:type="pct"/>
            <w:tcBorders>
              <w:top w:val="single" w:sz="4" w:space="0" w:color="auto"/>
              <w:bottom w:val="single" w:sz="4" w:space="0" w:color="auto"/>
            </w:tcBorders>
            <w:vAlign w:val="center"/>
          </w:tcPr>
          <w:p w14:paraId="7F5DF985" w14:textId="77777777" w:rsidR="00D15C11" w:rsidRPr="0029325B" w:rsidRDefault="00D15C11" w:rsidP="00D274A2">
            <w:pPr>
              <w:pStyle w:val="FAPHeadingThree"/>
              <w:jc w:val="right"/>
              <w:rPr>
                <w:rFonts w:ascii="Arial Narrow" w:hAnsi="Arial Narrow" w:cs="Times New Roman"/>
                <w:b/>
                <w:i w:val="0"/>
                <w:sz w:val="20"/>
                <w:szCs w:val="20"/>
                <w:u w:val="none"/>
              </w:rPr>
            </w:pPr>
            <w:r>
              <w:rPr>
                <w:rFonts w:ascii="Arial Narrow" w:hAnsi="Arial Narrow" w:cs="Times New Roman"/>
                <w:b/>
                <w:i w:val="0"/>
                <w:sz w:val="20"/>
                <w:szCs w:val="20"/>
                <w:u w:val="none"/>
              </w:rPr>
              <w:t xml:space="preserve">Other sources of fishing-related mortality </w:t>
            </w:r>
          </w:p>
        </w:tc>
      </w:tr>
      <w:tr w:rsidR="00D15C11" w:rsidRPr="00B26154" w14:paraId="5BB19BC5" w14:textId="77777777" w:rsidTr="00D15C11">
        <w:trPr>
          <w:trHeight w:val="283"/>
        </w:trPr>
        <w:tc>
          <w:tcPr>
            <w:tcW w:w="1014" w:type="pct"/>
            <w:vAlign w:val="center"/>
          </w:tcPr>
          <w:p w14:paraId="0C149BFB" w14:textId="77777777" w:rsidR="00D15C11" w:rsidRPr="00B26154" w:rsidRDefault="00D15C11" w:rsidP="00D274A2">
            <w:pPr>
              <w:pStyle w:val="FAPHeadingThree"/>
              <w:jc w:val="left"/>
              <w:rPr>
                <w:rFonts w:ascii="Arial Narrow" w:hAnsi="Arial Narrow" w:cs="Times New Roman"/>
                <w:i w:val="0"/>
                <w:sz w:val="20"/>
                <w:szCs w:val="20"/>
                <w:u w:val="none"/>
              </w:rPr>
            </w:pPr>
            <w:r>
              <w:rPr>
                <w:rFonts w:ascii="Arial Narrow" w:hAnsi="Arial Narrow" w:cs="Times New Roman"/>
                <w:i w:val="0"/>
                <w:sz w:val="20"/>
                <w:szCs w:val="20"/>
                <w:u w:val="none"/>
              </w:rPr>
              <w:t>Option 1 (</w:t>
            </w:r>
            <w:r w:rsidRPr="00000C9E">
              <w:rPr>
                <w:rFonts w:ascii="Arial Narrow" w:hAnsi="Arial Narrow" w:cs="Times New Roman"/>
                <w:sz w:val="20"/>
                <w:szCs w:val="20"/>
                <w:u w:val="none"/>
              </w:rPr>
              <w:t>status quo</w:t>
            </w:r>
            <w:r>
              <w:rPr>
                <w:rFonts w:ascii="Arial Narrow" w:hAnsi="Arial Narrow" w:cs="Times New Roman"/>
                <w:i w:val="0"/>
                <w:sz w:val="20"/>
                <w:szCs w:val="20"/>
                <w:u w:val="none"/>
              </w:rPr>
              <w:t>)</w:t>
            </w:r>
          </w:p>
        </w:tc>
        <w:tc>
          <w:tcPr>
            <w:tcW w:w="471" w:type="pct"/>
            <w:vAlign w:val="center"/>
          </w:tcPr>
          <w:p w14:paraId="0DB09C38" w14:textId="77777777" w:rsidR="00D15C11" w:rsidRPr="00B26154" w:rsidRDefault="00D15C11" w:rsidP="00D274A2">
            <w:pPr>
              <w:pStyle w:val="FAPHeadingThree"/>
              <w:jc w:val="right"/>
              <w:rPr>
                <w:rFonts w:ascii="Arial Narrow" w:hAnsi="Arial Narrow" w:cs="Times New Roman"/>
                <w:i w:val="0"/>
                <w:sz w:val="20"/>
                <w:szCs w:val="20"/>
                <w:u w:val="none"/>
              </w:rPr>
            </w:pPr>
            <w:r>
              <w:rPr>
                <w:rFonts w:ascii="Arial Narrow" w:hAnsi="Arial Narrow" w:cs="Times New Roman"/>
                <w:i w:val="0"/>
                <w:sz w:val="20"/>
                <w:szCs w:val="20"/>
                <w:u w:val="none"/>
              </w:rPr>
              <w:t>3</w:t>
            </w:r>
          </w:p>
        </w:tc>
        <w:tc>
          <w:tcPr>
            <w:tcW w:w="469" w:type="pct"/>
            <w:vAlign w:val="center"/>
          </w:tcPr>
          <w:p w14:paraId="4B65BC64" w14:textId="77777777" w:rsidR="00D15C11" w:rsidRPr="00B26154" w:rsidRDefault="00D15C11" w:rsidP="00D274A2">
            <w:pPr>
              <w:pStyle w:val="FAPHeadingThree"/>
              <w:jc w:val="right"/>
              <w:rPr>
                <w:rFonts w:ascii="Arial Narrow" w:hAnsi="Arial Narrow" w:cs="Times New Roman"/>
                <w:i w:val="0"/>
                <w:sz w:val="20"/>
                <w:szCs w:val="20"/>
                <w:u w:val="none"/>
              </w:rPr>
            </w:pPr>
            <w:r>
              <w:rPr>
                <w:rFonts w:ascii="Arial Narrow" w:hAnsi="Arial Narrow" w:cs="Times New Roman"/>
                <w:i w:val="0"/>
                <w:sz w:val="20"/>
                <w:szCs w:val="20"/>
                <w:u w:val="none"/>
              </w:rPr>
              <w:t>3</w:t>
            </w:r>
          </w:p>
        </w:tc>
        <w:tc>
          <w:tcPr>
            <w:tcW w:w="859" w:type="pct"/>
            <w:vAlign w:val="center"/>
          </w:tcPr>
          <w:p w14:paraId="18F931CB" w14:textId="77777777" w:rsidR="00D15C11" w:rsidRPr="00B26154" w:rsidRDefault="00D15C11" w:rsidP="00D274A2">
            <w:pPr>
              <w:pStyle w:val="FAPHeadingThree"/>
              <w:jc w:val="right"/>
              <w:rPr>
                <w:rFonts w:ascii="Arial Narrow" w:hAnsi="Arial Narrow" w:cs="Times New Roman"/>
                <w:i w:val="0"/>
                <w:sz w:val="20"/>
                <w:szCs w:val="20"/>
                <w:u w:val="none"/>
              </w:rPr>
            </w:pPr>
            <w:r>
              <w:rPr>
                <w:rFonts w:ascii="Arial Narrow" w:hAnsi="Arial Narrow" w:cs="Times New Roman"/>
                <w:i w:val="0"/>
                <w:sz w:val="20"/>
                <w:szCs w:val="20"/>
                <w:u w:val="none"/>
              </w:rPr>
              <w:t>0</w:t>
            </w:r>
          </w:p>
        </w:tc>
        <w:tc>
          <w:tcPr>
            <w:tcW w:w="703" w:type="pct"/>
            <w:vAlign w:val="center"/>
          </w:tcPr>
          <w:p w14:paraId="2AF7F24B" w14:textId="77777777" w:rsidR="00D15C11" w:rsidRPr="00B26154" w:rsidRDefault="00D15C11" w:rsidP="00D274A2">
            <w:pPr>
              <w:pStyle w:val="FAPHeadingThree"/>
              <w:jc w:val="right"/>
              <w:rPr>
                <w:rFonts w:ascii="Arial Narrow" w:hAnsi="Arial Narrow" w:cs="Times New Roman"/>
                <w:i w:val="0"/>
                <w:sz w:val="20"/>
                <w:szCs w:val="20"/>
                <w:u w:val="none"/>
              </w:rPr>
            </w:pPr>
            <w:r>
              <w:rPr>
                <w:rFonts w:ascii="Arial Narrow" w:hAnsi="Arial Narrow" w:cs="Times New Roman"/>
                <w:i w:val="0"/>
                <w:sz w:val="20"/>
                <w:szCs w:val="20"/>
                <w:u w:val="none"/>
              </w:rPr>
              <w:t>0</w:t>
            </w:r>
          </w:p>
        </w:tc>
        <w:tc>
          <w:tcPr>
            <w:tcW w:w="1484" w:type="pct"/>
            <w:vAlign w:val="center"/>
          </w:tcPr>
          <w:p w14:paraId="0516EDE8" w14:textId="77777777" w:rsidR="00D15C11" w:rsidRPr="00B26154" w:rsidRDefault="00D15C11" w:rsidP="00D274A2">
            <w:pPr>
              <w:pStyle w:val="FAPHeadingThree"/>
              <w:jc w:val="right"/>
              <w:rPr>
                <w:rFonts w:ascii="Arial Narrow" w:hAnsi="Arial Narrow" w:cs="Times New Roman"/>
                <w:i w:val="0"/>
                <w:sz w:val="20"/>
                <w:szCs w:val="20"/>
                <w:u w:val="none"/>
              </w:rPr>
            </w:pPr>
            <w:r>
              <w:rPr>
                <w:rFonts w:ascii="Arial Narrow" w:hAnsi="Arial Narrow" w:cs="Times New Roman"/>
                <w:i w:val="0"/>
                <w:sz w:val="20"/>
                <w:szCs w:val="20"/>
                <w:u w:val="none"/>
              </w:rPr>
              <w:t>0</w:t>
            </w:r>
          </w:p>
        </w:tc>
      </w:tr>
      <w:tr w:rsidR="00D15C11" w:rsidRPr="00EC419B" w14:paraId="39A472B7" w14:textId="77777777" w:rsidTr="00D15C11">
        <w:trPr>
          <w:trHeight w:val="283"/>
        </w:trPr>
        <w:tc>
          <w:tcPr>
            <w:tcW w:w="1014" w:type="pct"/>
            <w:vAlign w:val="center"/>
          </w:tcPr>
          <w:p w14:paraId="094B3D20" w14:textId="77777777" w:rsidR="00D15C11" w:rsidRPr="00B26154" w:rsidRDefault="00D15C11" w:rsidP="00D274A2">
            <w:pPr>
              <w:pStyle w:val="FAPHeadingThree"/>
              <w:jc w:val="left"/>
              <w:rPr>
                <w:rFonts w:ascii="Arial Narrow" w:hAnsi="Arial Narrow" w:cs="Times New Roman"/>
                <w:i w:val="0"/>
                <w:sz w:val="20"/>
                <w:szCs w:val="20"/>
                <w:u w:val="none"/>
              </w:rPr>
            </w:pPr>
            <w:r>
              <w:rPr>
                <w:rFonts w:ascii="Arial Narrow" w:hAnsi="Arial Narrow" w:cs="Times New Roman"/>
                <w:i w:val="0"/>
                <w:sz w:val="20"/>
                <w:szCs w:val="20"/>
                <w:u w:val="none"/>
              </w:rPr>
              <w:t>Option 2</w:t>
            </w:r>
          </w:p>
        </w:tc>
        <w:tc>
          <w:tcPr>
            <w:tcW w:w="471" w:type="pct"/>
            <w:vAlign w:val="center"/>
          </w:tcPr>
          <w:p w14:paraId="2674AD33" w14:textId="77777777" w:rsidR="00D15C11" w:rsidRPr="00EC419B" w:rsidRDefault="00D15C11" w:rsidP="00D274A2">
            <w:pPr>
              <w:jc w:val="right"/>
              <w:rPr>
                <w:rFonts w:ascii="Arial Narrow" w:hAnsi="Arial Narrow" w:cs="Arial"/>
                <w:sz w:val="20"/>
                <w:szCs w:val="22"/>
              </w:rPr>
            </w:pPr>
            <w:r>
              <w:rPr>
                <w:rFonts w:ascii="Arial Narrow" w:hAnsi="Arial Narrow" w:cs="Arial"/>
                <w:sz w:val="20"/>
                <w:szCs w:val="22"/>
              </w:rPr>
              <w:t>16</w:t>
            </w:r>
          </w:p>
        </w:tc>
        <w:tc>
          <w:tcPr>
            <w:tcW w:w="469" w:type="pct"/>
            <w:vAlign w:val="center"/>
          </w:tcPr>
          <w:p w14:paraId="65253652" w14:textId="77777777" w:rsidR="00D15C11" w:rsidRPr="00EC419B" w:rsidRDefault="00D15C11" w:rsidP="00D274A2">
            <w:pPr>
              <w:jc w:val="right"/>
              <w:rPr>
                <w:rFonts w:ascii="Arial Narrow" w:hAnsi="Arial Narrow" w:cs="Arial"/>
                <w:sz w:val="20"/>
                <w:szCs w:val="22"/>
              </w:rPr>
            </w:pPr>
            <w:r>
              <w:rPr>
                <w:rFonts w:ascii="Arial Narrow" w:hAnsi="Arial Narrow" w:cs="Arial"/>
                <w:sz w:val="20"/>
                <w:szCs w:val="22"/>
              </w:rPr>
              <w:t>15</w:t>
            </w:r>
          </w:p>
        </w:tc>
        <w:tc>
          <w:tcPr>
            <w:tcW w:w="859" w:type="pct"/>
            <w:vAlign w:val="center"/>
          </w:tcPr>
          <w:p w14:paraId="5FA1DBDA" w14:textId="77777777" w:rsidR="00D15C11" w:rsidRPr="00EC419B" w:rsidRDefault="00D15C11" w:rsidP="00D274A2">
            <w:pPr>
              <w:jc w:val="right"/>
              <w:rPr>
                <w:rFonts w:ascii="Arial Narrow" w:hAnsi="Arial Narrow" w:cs="Arial"/>
                <w:sz w:val="20"/>
                <w:szCs w:val="22"/>
              </w:rPr>
            </w:pPr>
            <w:r>
              <w:rPr>
                <w:rFonts w:ascii="Arial Narrow" w:hAnsi="Arial Narrow" w:cs="Arial"/>
                <w:sz w:val="20"/>
                <w:szCs w:val="22"/>
              </w:rPr>
              <w:t>0</w:t>
            </w:r>
          </w:p>
        </w:tc>
        <w:tc>
          <w:tcPr>
            <w:tcW w:w="703" w:type="pct"/>
            <w:vAlign w:val="center"/>
          </w:tcPr>
          <w:p w14:paraId="5F7C21E5" w14:textId="77777777" w:rsidR="00D15C11" w:rsidRPr="00EC419B" w:rsidRDefault="00D15C11" w:rsidP="00D274A2">
            <w:pPr>
              <w:jc w:val="right"/>
              <w:rPr>
                <w:rFonts w:ascii="Arial Narrow" w:hAnsi="Arial Narrow" w:cs="Arial"/>
                <w:sz w:val="20"/>
                <w:szCs w:val="22"/>
              </w:rPr>
            </w:pPr>
            <w:r>
              <w:rPr>
                <w:rFonts w:ascii="Arial Narrow" w:hAnsi="Arial Narrow" w:cs="Arial"/>
                <w:sz w:val="20"/>
                <w:szCs w:val="22"/>
              </w:rPr>
              <w:t>0</w:t>
            </w:r>
          </w:p>
        </w:tc>
        <w:tc>
          <w:tcPr>
            <w:tcW w:w="1484" w:type="pct"/>
            <w:vAlign w:val="center"/>
          </w:tcPr>
          <w:p w14:paraId="382D3704" w14:textId="77777777" w:rsidR="00D15C11" w:rsidRPr="00EC419B" w:rsidRDefault="00D15C11" w:rsidP="00D274A2">
            <w:pPr>
              <w:jc w:val="right"/>
              <w:rPr>
                <w:rFonts w:ascii="Arial Narrow" w:hAnsi="Arial Narrow" w:cs="Arial"/>
                <w:sz w:val="20"/>
                <w:szCs w:val="22"/>
              </w:rPr>
            </w:pPr>
            <w:r>
              <w:rPr>
                <w:rFonts w:ascii="Arial Narrow" w:hAnsi="Arial Narrow" w:cs="Arial"/>
                <w:sz w:val="20"/>
                <w:szCs w:val="22"/>
              </w:rPr>
              <w:t>1</w:t>
            </w:r>
          </w:p>
        </w:tc>
      </w:tr>
      <w:tr w:rsidR="00D15C11" w:rsidRPr="00EC419B" w14:paraId="75FF5FA9" w14:textId="77777777" w:rsidTr="00D15C11">
        <w:trPr>
          <w:trHeight w:val="283"/>
        </w:trPr>
        <w:tc>
          <w:tcPr>
            <w:tcW w:w="1014" w:type="pct"/>
            <w:tcBorders>
              <w:bottom w:val="single" w:sz="4" w:space="0" w:color="auto"/>
            </w:tcBorders>
            <w:vAlign w:val="center"/>
          </w:tcPr>
          <w:p w14:paraId="288BEC50" w14:textId="77777777" w:rsidR="00D15C11" w:rsidRPr="00B26154" w:rsidRDefault="00D15C11" w:rsidP="00D274A2">
            <w:pPr>
              <w:pStyle w:val="FAPHeadingThree"/>
              <w:jc w:val="left"/>
              <w:rPr>
                <w:rFonts w:ascii="Arial Narrow" w:hAnsi="Arial Narrow" w:cs="Times New Roman"/>
                <w:i w:val="0"/>
                <w:sz w:val="20"/>
                <w:szCs w:val="20"/>
                <w:u w:val="none"/>
              </w:rPr>
            </w:pPr>
            <w:r w:rsidRPr="00B26154">
              <w:rPr>
                <w:rFonts w:ascii="Arial Narrow" w:hAnsi="Arial Narrow" w:cs="Times New Roman"/>
                <w:i w:val="0"/>
                <w:sz w:val="20"/>
                <w:szCs w:val="20"/>
                <w:u w:val="none"/>
              </w:rPr>
              <w:t xml:space="preserve">Option </w:t>
            </w:r>
            <w:r>
              <w:rPr>
                <w:rFonts w:ascii="Arial Narrow" w:hAnsi="Arial Narrow" w:cs="Times New Roman"/>
                <w:i w:val="0"/>
                <w:sz w:val="20"/>
                <w:szCs w:val="20"/>
                <w:u w:val="none"/>
              </w:rPr>
              <w:t>3</w:t>
            </w:r>
          </w:p>
        </w:tc>
        <w:tc>
          <w:tcPr>
            <w:tcW w:w="471" w:type="pct"/>
            <w:tcBorders>
              <w:bottom w:val="single" w:sz="4" w:space="0" w:color="auto"/>
            </w:tcBorders>
            <w:vAlign w:val="center"/>
          </w:tcPr>
          <w:p w14:paraId="1AF57708" w14:textId="77777777" w:rsidR="00D15C11" w:rsidRPr="00EC419B" w:rsidRDefault="00D15C11" w:rsidP="00D274A2">
            <w:pPr>
              <w:jc w:val="right"/>
              <w:rPr>
                <w:rFonts w:ascii="Arial Narrow" w:hAnsi="Arial Narrow" w:cs="Arial"/>
                <w:sz w:val="20"/>
                <w:szCs w:val="22"/>
              </w:rPr>
            </w:pPr>
            <w:r>
              <w:rPr>
                <w:rFonts w:ascii="Arial Narrow" w:hAnsi="Arial Narrow" w:cs="Arial"/>
                <w:sz w:val="20"/>
                <w:szCs w:val="22"/>
              </w:rPr>
              <w:t>32</w:t>
            </w:r>
          </w:p>
        </w:tc>
        <w:tc>
          <w:tcPr>
            <w:tcW w:w="469" w:type="pct"/>
            <w:tcBorders>
              <w:bottom w:val="single" w:sz="4" w:space="0" w:color="auto"/>
            </w:tcBorders>
            <w:vAlign w:val="center"/>
          </w:tcPr>
          <w:p w14:paraId="55E429B3" w14:textId="77777777" w:rsidR="00D15C11" w:rsidRPr="00EC419B" w:rsidRDefault="00D15C11" w:rsidP="00D274A2">
            <w:pPr>
              <w:jc w:val="right"/>
              <w:rPr>
                <w:rFonts w:ascii="Arial Narrow" w:hAnsi="Arial Narrow" w:cs="Arial"/>
                <w:sz w:val="20"/>
                <w:szCs w:val="22"/>
              </w:rPr>
            </w:pPr>
            <w:r>
              <w:rPr>
                <w:rFonts w:ascii="Arial Narrow" w:hAnsi="Arial Narrow" w:cs="Arial"/>
                <w:sz w:val="20"/>
                <w:szCs w:val="22"/>
              </w:rPr>
              <w:t>30</w:t>
            </w:r>
          </w:p>
        </w:tc>
        <w:tc>
          <w:tcPr>
            <w:tcW w:w="859" w:type="pct"/>
            <w:tcBorders>
              <w:bottom w:val="single" w:sz="4" w:space="0" w:color="auto"/>
            </w:tcBorders>
            <w:vAlign w:val="center"/>
          </w:tcPr>
          <w:p w14:paraId="2D208FEB" w14:textId="77777777" w:rsidR="00D15C11" w:rsidRPr="00EC419B" w:rsidRDefault="00D15C11" w:rsidP="00D274A2">
            <w:pPr>
              <w:jc w:val="right"/>
              <w:rPr>
                <w:rFonts w:ascii="Arial Narrow" w:hAnsi="Arial Narrow" w:cs="Arial"/>
                <w:sz w:val="20"/>
                <w:szCs w:val="22"/>
              </w:rPr>
            </w:pPr>
            <w:r>
              <w:rPr>
                <w:rFonts w:ascii="Arial Narrow" w:hAnsi="Arial Narrow" w:cs="Arial"/>
                <w:sz w:val="20"/>
                <w:szCs w:val="22"/>
              </w:rPr>
              <w:t>0</w:t>
            </w:r>
          </w:p>
        </w:tc>
        <w:tc>
          <w:tcPr>
            <w:tcW w:w="703" w:type="pct"/>
            <w:tcBorders>
              <w:bottom w:val="single" w:sz="4" w:space="0" w:color="auto"/>
            </w:tcBorders>
            <w:vAlign w:val="center"/>
          </w:tcPr>
          <w:p w14:paraId="553E06AF" w14:textId="77777777" w:rsidR="00D15C11" w:rsidRPr="00EC419B" w:rsidRDefault="00D15C11" w:rsidP="00D274A2">
            <w:pPr>
              <w:jc w:val="right"/>
              <w:rPr>
                <w:rFonts w:ascii="Arial Narrow" w:hAnsi="Arial Narrow" w:cs="Arial"/>
                <w:sz w:val="20"/>
                <w:szCs w:val="22"/>
              </w:rPr>
            </w:pPr>
            <w:r>
              <w:rPr>
                <w:rFonts w:ascii="Arial Narrow" w:hAnsi="Arial Narrow" w:cs="Arial"/>
                <w:sz w:val="20"/>
                <w:szCs w:val="22"/>
              </w:rPr>
              <w:t>0</w:t>
            </w:r>
          </w:p>
        </w:tc>
        <w:tc>
          <w:tcPr>
            <w:tcW w:w="1484" w:type="pct"/>
            <w:tcBorders>
              <w:bottom w:val="single" w:sz="4" w:space="0" w:color="auto"/>
            </w:tcBorders>
            <w:vAlign w:val="center"/>
          </w:tcPr>
          <w:p w14:paraId="47933905" w14:textId="77777777" w:rsidR="00D15C11" w:rsidRPr="00EC419B" w:rsidRDefault="00D15C11" w:rsidP="00D274A2">
            <w:pPr>
              <w:jc w:val="right"/>
              <w:rPr>
                <w:rFonts w:ascii="Arial Narrow" w:hAnsi="Arial Narrow" w:cs="Arial"/>
                <w:sz w:val="20"/>
                <w:szCs w:val="22"/>
              </w:rPr>
            </w:pPr>
            <w:r>
              <w:rPr>
                <w:rFonts w:ascii="Arial Narrow" w:hAnsi="Arial Narrow" w:cs="Arial"/>
                <w:sz w:val="20"/>
                <w:szCs w:val="22"/>
              </w:rPr>
              <w:t>2</w:t>
            </w:r>
          </w:p>
        </w:tc>
      </w:tr>
    </w:tbl>
    <w:p w14:paraId="6BF1D8D9" w14:textId="77777777" w:rsidR="00D15C11" w:rsidRDefault="00D15C11" w:rsidP="00471C3D">
      <w:pPr>
        <w:rPr>
          <w:rFonts w:ascii="Arial Narrow" w:hAnsi="Arial Narrow"/>
          <w:b/>
          <w:sz w:val="28"/>
          <w:szCs w:val="28"/>
        </w:rPr>
      </w:pPr>
    </w:p>
    <w:p w14:paraId="73F97118" w14:textId="412664BA" w:rsidR="003E31BD" w:rsidRDefault="004348A5" w:rsidP="000675A0">
      <w:pPr>
        <w:pStyle w:val="Heading2"/>
      </w:pPr>
      <w:bookmarkStart w:id="42" w:name="_Toc453052972"/>
      <w:r>
        <w:t>Option 1 (Status quo</w:t>
      </w:r>
      <w:r w:rsidR="003E31BD">
        <w:t>)</w:t>
      </w:r>
      <w:bookmarkEnd w:id="42"/>
    </w:p>
    <w:p w14:paraId="30CDE195" w14:textId="1044C9BA" w:rsidR="003E31BD" w:rsidRDefault="003E31BD" w:rsidP="003E31BD">
      <w:r>
        <w:t xml:space="preserve">Under this option the TAC/TACC for </w:t>
      </w:r>
      <w:r w:rsidR="00C71FB1">
        <w:t>RBY 3</w:t>
      </w:r>
      <w:r>
        <w:t xml:space="preserve"> would remain at three tonnes. </w:t>
      </w:r>
      <w:r w:rsidR="00DA5BA1">
        <w:t>The fact that catches of more than three tonnes of rubyfish in a single tow have been achieved several times indicates it may not be appropriate to retain the TAC at this level.</w:t>
      </w:r>
    </w:p>
    <w:p w14:paraId="16C59B5C" w14:textId="77777777" w:rsidR="00FD63C6" w:rsidRDefault="00FD63C6" w:rsidP="003E31BD"/>
    <w:p w14:paraId="3C409414" w14:textId="1DE26398" w:rsidR="002425EA" w:rsidRDefault="00FD63C6" w:rsidP="003E31BD">
      <w:r>
        <w:t xml:space="preserve">This option </w:t>
      </w:r>
      <w:r w:rsidR="000923CD">
        <w:t>does not provide incentives for fishers to correctly report catches.</w:t>
      </w:r>
      <w:r>
        <w:t xml:space="preserve"> Total deemed values of </w:t>
      </w:r>
      <w:r w:rsidR="003117AA">
        <w:t>over $2,000 were incurred during the 2014/15 fishing year and this is likely to be at least doubled during 2015/16.</w:t>
      </w:r>
    </w:p>
    <w:p w14:paraId="0273D5BE" w14:textId="77777777" w:rsidR="00F0072C" w:rsidRPr="003E31BD" w:rsidRDefault="00F0072C" w:rsidP="003E31BD"/>
    <w:p w14:paraId="5AA78F3B" w14:textId="1F7E8502" w:rsidR="000675A0" w:rsidRDefault="004348A5" w:rsidP="000675A0">
      <w:pPr>
        <w:pStyle w:val="Heading2"/>
      </w:pPr>
      <w:bookmarkStart w:id="43" w:name="_Toc453052973"/>
      <w:r>
        <w:lastRenderedPageBreak/>
        <w:t>O</w:t>
      </w:r>
      <w:r w:rsidR="000675A0">
        <w:t xml:space="preserve">ption </w:t>
      </w:r>
      <w:r w:rsidR="003E31BD">
        <w:t>2</w:t>
      </w:r>
      <w:bookmarkEnd w:id="43"/>
    </w:p>
    <w:p w14:paraId="692E9FC7" w14:textId="023BCA99" w:rsidR="000675A0" w:rsidRDefault="000675A0" w:rsidP="000675A0">
      <w:r>
        <w:t xml:space="preserve">This option involves </w:t>
      </w:r>
      <w:r w:rsidR="002C5788">
        <w:t>setting</w:t>
      </w:r>
      <w:r>
        <w:t xml:space="preserve"> the </w:t>
      </w:r>
      <w:r w:rsidR="00C71FB1">
        <w:t>RBY 3</w:t>
      </w:r>
      <w:r>
        <w:t xml:space="preserve"> TAC </w:t>
      </w:r>
      <w:r w:rsidR="002C5788">
        <w:t>at</w:t>
      </w:r>
      <w:r>
        <w:t xml:space="preserve"> </w:t>
      </w:r>
      <w:r w:rsidR="00B907F4">
        <w:t>16</w:t>
      </w:r>
      <w:r>
        <w:t xml:space="preserve"> tonnes</w:t>
      </w:r>
      <w:r w:rsidR="008745B1">
        <w:t xml:space="preserve"> </w:t>
      </w:r>
      <w:r w:rsidR="002C5788">
        <w:t>with a</w:t>
      </w:r>
      <w:r w:rsidR="008745B1">
        <w:t xml:space="preserve"> TACC </w:t>
      </w:r>
      <w:r w:rsidR="002C5788">
        <w:t>of</w:t>
      </w:r>
      <w:r w:rsidR="008745B1">
        <w:t xml:space="preserve"> </w:t>
      </w:r>
      <w:r w:rsidR="00B907F4">
        <w:t>15</w:t>
      </w:r>
      <w:r w:rsidR="008745B1">
        <w:t xml:space="preserve"> tonnes</w:t>
      </w:r>
      <w:r>
        <w:t xml:space="preserve">. This </w:t>
      </w:r>
      <w:r w:rsidR="00B907F4">
        <w:t>option is based on catch reported during the 2014/15 fishing year and is well above the average catch for the 17 completed fishing years since 1998/99</w:t>
      </w:r>
      <w:r w:rsidR="00400023">
        <w:t xml:space="preserve">. </w:t>
      </w:r>
    </w:p>
    <w:p w14:paraId="4B1F5986" w14:textId="77777777" w:rsidR="00FD63C6" w:rsidRDefault="00FD63C6" w:rsidP="000675A0"/>
    <w:p w14:paraId="3CB47653" w14:textId="57A7E66A" w:rsidR="00400023" w:rsidRDefault="006712E6" w:rsidP="000675A0">
      <w:r>
        <w:t xml:space="preserve">A TAC at this level remains relatively low in comparison to the TACs for the main rubyfish stocks of RBY1 (TAC of 318 tonnes) and RBY2 (435 tonnes) and is </w:t>
      </w:r>
      <w:r w:rsidR="001B6740">
        <w:t xml:space="preserve">considered </w:t>
      </w:r>
      <w:r>
        <w:t xml:space="preserve">unlikely to </w:t>
      </w:r>
      <w:r w:rsidR="001B6740">
        <w:t>lead to</w:t>
      </w:r>
      <w:r>
        <w:t xml:space="preserve"> sustaina</w:t>
      </w:r>
      <w:r w:rsidR="00C627FD">
        <w:t>bility concerns for this stock.</w:t>
      </w:r>
    </w:p>
    <w:p w14:paraId="68524466" w14:textId="77777777" w:rsidR="00F0072C" w:rsidRDefault="00F0072C" w:rsidP="000675A0"/>
    <w:p w14:paraId="722C309B" w14:textId="3D1DE97D" w:rsidR="00400023" w:rsidRDefault="004348A5" w:rsidP="00400023">
      <w:pPr>
        <w:pStyle w:val="Heading2"/>
      </w:pPr>
      <w:bookmarkStart w:id="44" w:name="_Toc453052974"/>
      <w:r>
        <w:t>O</w:t>
      </w:r>
      <w:r w:rsidR="00400023">
        <w:t xml:space="preserve">ption </w:t>
      </w:r>
      <w:r w:rsidR="00DA5BA1">
        <w:t>3</w:t>
      </w:r>
      <w:bookmarkEnd w:id="44"/>
    </w:p>
    <w:p w14:paraId="33AE2BCA" w14:textId="5C5EC398" w:rsidR="00304182" w:rsidRDefault="00400023" w:rsidP="00400023">
      <w:r>
        <w:t xml:space="preserve">This option involves </w:t>
      </w:r>
      <w:r w:rsidR="002C5788">
        <w:t>setting</w:t>
      </w:r>
      <w:r>
        <w:t xml:space="preserve"> the </w:t>
      </w:r>
      <w:r w:rsidR="00C71FB1">
        <w:t>RBY 3</w:t>
      </w:r>
      <w:r>
        <w:t xml:space="preserve"> TAC </w:t>
      </w:r>
      <w:r w:rsidR="002C5788">
        <w:t>at</w:t>
      </w:r>
      <w:r>
        <w:t xml:space="preserve"> </w:t>
      </w:r>
      <w:r w:rsidR="00B907F4">
        <w:t>32</w:t>
      </w:r>
      <w:r>
        <w:t xml:space="preserve"> tonnes</w:t>
      </w:r>
      <w:r w:rsidR="008745B1">
        <w:t xml:space="preserve"> </w:t>
      </w:r>
      <w:r w:rsidR="002C5788">
        <w:t>with</w:t>
      </w:r>
      <w:r w:rsidR="008745B1">
        <w:t xml:space="preserve"> TACC </w:t>
      </w:r>
      <w:r w:rsidR="002C5788">
        <w:t>of</w:t>
      </w:r>
      <w:r w:rsidR="008745B1">
        <w:t xml:space="preserve"> </w:t>
      </w:r>
      <w:r w:rsidR="00B907F4">
        <w:t>3</w:t>
      </w:r>
      <w:r w:rsidR="002C5788">
        <w:t>0</w:t>
      </w:r>
      <w:r w:rsidR="00C401D2">
        <w:t xml:space="preserve"> tonnes</w:t>
      </w:r>
      <w:r>
        <w:t xml:space="preserve">. </w:t>
      </w:r>
      <w:r w:rsidR="00B907F4">
        <w:t>This option is based on catch reported during the first half of the 2015/16 fishing year. This option would provide fishers with an increased ability to</w:t>
      </w:r>
      <w:r w:rsidR="00DA5BA1">
        <w:t xml:space="preserve"> cover catch with ACE in the event of encountering a large aggregation of rubyfish while targeting a different species. </w:t>
      </w:r>
    </w:p>
    <w:p w14:paraId="1DB8EF50" w14:textId="77777777" w:rsidR="00304182" w:rsidRDefault="00304182" w:rsidP="00400023"/>
    <w:p w14:paraId="53B65D06" w14:textId="5F3F4FBD" w:rsidR="001B6740" w:rsidRDefault="00DA5BA1" w:rsidP="00400023">
      <w:r>
        <w:t>A</w:t>
      </w:r>
      <w:r w:rsidR="006712E6">
        <w:t>gain, a TAC at this level</w:t>
      </w:r>
      <w:r>
        <w:t xml:space="preserve"> </w:t>
      </w:r>
      <w:r w:rsidR="00304182">
        <w:t xml:space="preserve">is </w:t>
      </w:r>
      <w:r w:rsidR="001B6740">
        <w:t xml:space="preserve">considered </w:t>
      </w:r>
      <w:r w:rsidR="00304182">
        <w:t xml:space="preserve">unlikely to </w:t>
      </w:r>
      <w:r w:rsidR="001B6740">
        <w:t>lead to</w:t>
      </w:r>
      <w:r w:rsidR="00304182">
        <w:t xml:space="preserve"> sustainability concerns for this stock.</w:t>
      </w:r>
    </w:p>
    <w:p w14:paraId="710554ED" w14:textId="77777777" w:rsidR="00F0072C" w:rsidRDefault="00F0072C" w:rsidP="00304182"/>
    <w:p w14:paraId="0557C84F" w14:textId="3AE2758B" w:rsidR="00EF1C8E" w:rsidRDefault="00471C3D" w:rsidP="00EF1C8E">
      <w:pPr>
        <w:pStyle w:val="Heading1"/>
      </w:pPr>
      <w:bookmarkStart w:id="45" w:name="_Toc399138995"/>
      <w:bookmarkStart w:id="46" w:name="_Toc453052975"/>
      <w:r w:rsidRPr="00933151">
        <w:t>Other Matters</w:t>
      </w:r>
      <w:bookmarkEnd w:id="45"/>
      <w:bookmarkEnd w:id="46"/>
    </w:p>
    <w:p w14:paraId="13AC3613" w14:textId="77777777" w:rsidR="00EF1C8E" w:rsidRDefault="00EF1C8E" w:rsidP="00EF1C8E">
      <w:pPr>
        <w:pStyle w:val="Heading2"/>
      </w:pPr>
      <w:bookmarkStart w:id="47" w:name="_Toc453052976"/>
      <w:r>
        <w:t>Deemed value rates</w:t>
      </w:r>
      <w:bookmarkEnd w:id="47"/>
    </w:p>
    <w:p w14:paraId="7EC63C41" w14:textId="67570BBF" w:rsidR="006C352F" w:rsidRDefault="00EF1C8E" w:rsidP="00EF1C8E">
      <w:r w:rsidRPr="003104F7">
        <w:t xml:space="preserve">Deemed values are an economic tool that </w:t>
      </w:r>
      <w:r w:rsidR="004A5B4F">
        <w:t xml:space="preserve">are designed to create </w:t>
      </w:r>
      <w:r w:rsidRPr="003104F7">
        <w:t>incentives</w:t>
      </w:r>
      <w:r w:rsidR="004A5B4F">
        <w:t xml:space="preserve"> for</w:t>
      </w:r>
      <w:r w:rsidRPr="003104F7">
        <w:t xml:space="preserve"> commercial fishers not to catch in excess of their indi</w:t>
      </w:r>
      <w:r>
        <w:t>vidual annual catch entitlement holdings</w:t>
      </w:r>
      <w:r w:rsidRPr="003104F7">
        <w:t>. Ensuring deemed value</w:t>
      </w:r>
      <w:r>
        <w:t xml:space="preserve"> rates are appropriately set</w:t>
      </w:r>
      <w:r w:rsidRPr="003104F7">
        <w:t xml:space="preserve"> is </w:t>
      </w:r>
      <w:r>
        <w:t xml:space="preserve">a </w:t>
      </w:r>
      <w:r w:rsidRPr="003104F7">
        <w:t>fundamental principle of the Quota Management System.</w:t>
      </w:r>
      <w:r w:rsidR="006C352F">
        <w:t xml:space="preserve"> Reviewing deemed value rates is undertaken whenever a TAC for a stock is also reviewed.</w:t>
      </w:r>
    </w:p>
    <w:p w14:paraId="686E3794" w14:textId="77777777" w:rsidR="006C352F" w:rsidRDefault="006C352F" w:rsidP="00EF1C8E"/>
    <w:p w14:paraId="07546B6E" w14:textId="724F983F" w:rsidR="000940F8" w:rsidRDefault="000940F8" w:rsidP="00EF1C8E">
      <w:r>
        <w:t xml:space="preserve">The </w:t>
      </w:r>
      <w:r w:rsidR="00A37EB7">
        <w:t xml:space="preserve">existing and proposed </w:t>
      </w:r>
      <w:r>
        <w:t xml:space="preserve">deemed value rates for all rubyfish stocks are set out in Table </w:t>
      </w:r>
      <w:r w:rsidR="001B6740">
        <w:t>4</w:t>
      </w:r>
      <w:r>
        <w:t xml:space="preserve"> below. </w:t>
      </w:r>
    </w:p>
    <w:p w14:paraId="2910E6F4" w14:textId="77777777" w:rsidR="000940F8" w:rsidRDefault="000940F8" w:rsidP="00EF1C8E"/>
    <w:p w14:paraId="0049B2DF" w14:textId="0D1E10BB" w:rsidR="0008438B" w:rsidRPr="005A2B3B" w:rsidRDefault="0008438B" w:rsidP="0008438B">
      <w:pPr>
        <w:spacing w:after="120"/>
        <w:rPr>
          <w:rFonts w:ascii="Arial Narrow" w:hAnsi="Arial Narrow"/>
          <w:b/>
        </w:rPr>
      </w:pPr>
      <w:r w:rsidRPr="005A2B3B">
        <w:rPr>
          <w:rFonts w:ascii="Arial Narrow" w:hAnsi="Arial Narrow"/>
          <w:b/>
        </w:rPr>
        <w:t xml:space="preserve">Table </w:t>
      </w:r>
      <w:r w:rsidR="001B6740" w:rsidRPr="005A2B3B">
        <w:rPr>
          <w:rFonts w:ascii="Arial Narrow" w:hAnsi="Arial Narrow"/>
          <w:b/>
        </w:rPr>
        <w:t>4</w:t>
      </w:r>
      <w:r w:rsidRPr="005A2B3B">
        <w:rPr>
          <w:rFonts w:ascii="Arial Narrow" w:hAnsi="Arial Narrow"/>
          <w:b/>
        </w:rPr>
        <w:t xml:space="preserve">. </w:t>
      </w:r>
      <w:r w:rsidR="00A37EB7" w:rsidRPr="005A2B3B">
        <w:rPr>
          <w:rFonts w:ascii="Arial Narrow" w:hAnsi="Arial Narrow"/>
          <w:b/>
        </w:rPr>
        <w:t xml:space="preserve">Existing </w:t>
      </w:r>
      <w:r w:rsidR="00856B4A" w:rsidRPr="005A2B3B">
        <w:rPr>
          <w:rFonts w:ascii="Arial Narrow" w:hAnsi="Arial Narrow"/>
          <w:b/>
        </w:rPr>
        <w:t xml:space="preserve">and proposed </w:t>
      </w:r>
      <w:r w:rsidR="00A37EB7" w:rsidRPr="005A2B3B">
        <w:rPr>
          <w:rFonts w:ascii="Arial Narrow" w:hAnsi="Arial Narrow"/>
          <w:b/>
        </w:rPr>
        <w:t>d</w:t>
      </w:r>
      <w:r w:rsidRPr="005A2B3B">
        <w:rPr>
          <w:rFonts w:ascii="Arial Narrow" w:hAnsi="Arial Narrow"/>
          <w:b/>
        </w:rPr>
        <w:t>eemed values rates ($/kg) for all rubyfish stocks</w:t>
      </w:r>
    </w:p>
    <w:tbl>
      <w:tblPr>
        <w:tblW w:w="5000" w:type="pct"/>
        <w:jc w:val="center"/>
        <w:tblBorders>
          <w:top w:val="single" w:sz="8" w:space="0" w:color="4F81BD"/>
          <w:bottom w:val="single" w:sz="8" w:space="0" w:color="4F81BD"/>
        </w:tblBorders>
        <w:tblLook w:val="04A0" w:firstRow="1" w:lastRow="0" w:firstColumn="1" w:lastColumn="0" w:noHBand="0" w:noVBand="1"/>
      </w:tblPr>
      <w:tblGrid>
        <w:gridCol w:w="855"/>
        <w:gridCol w:w="993"/>
        <w:gridCol w:w="992"/>
        <w:gridCol w:w="1134"/>
        <w:gridCol w:w="1101"/>
        <w:gridCol w:w="1001"/>
        <w:gridCol w:w="1001"/>
        <w:gridCol w:w="1001"/>
        <w:gridCol w:w="992"/>
      </w:tblGrid>
      <w:tr w:rsidR="00A37EB7" w:rsidRPr="00E049FF" w14:paraId="577F85F1" w14:textId="77777777" w:rsidTr="00CE3C36">
        <w:trPr>
          <w:trHeight w:val="170"/>
          <w:jc w:val="center"/>
        </w:trPr>
        <w:tc>
          <w:tcPr>
            <w:tcW w:w="471" w:type="pct"/>
            <w:tcBorders>
              <w:top w:val="single" w:sz="4" w:space="0" w:color="auto"/>
              <w:bottom w:val="single" w:sz="4" w:space="0" w:color="auto"/>
            </w:tcBorders>
            <w:shd w:val="clear" w:color="auto" w:fill="auto"/>
          </w:tcPr>
          <w:p w14:paraId="439F7D75" w14:textId="77777777" w:rsidR="00A37EB7" w:rsidRPr="00E049FF" w:rsidRDefault="00A37EB7" w:rsidP="00497FD8">
            <w:pPr>
              <w:rPr>
                <w:rFonts w:ascii="Arial Narrow" w:hAnsi="Arial Narrow" w:cs="Arial"/>
                <w:b/>
                <w:sz w:val="18"/>
                <w:szCs w:val="18"/>
              </w:rPr>
            </w:pPr>
          </w:p>
        </w:tc>
        <w:tc>
          <w:tcPr>
            <w:tcW w:w="547" w:type="pct"/>
            <w:tcBorders>
              <w:top w:val="single" w:sz="4" w:space="0" w:color="auto"/>
              <w:bottom w:val="single" w:sz="4" w:space="0" w:color="auto"/>
            </w:tcBorders>
            <w:shd w:val="clear" w:color="auto" w:fill="auto"/>
            <w:vAlign w:val="center"/>
          </w:tcPr>
          <w:p w14:paraId="7DBA5865" w14:textId="5032B03A" w:rsidR="00A37EB7" w:rsidRPr="00E049FF" w:rsidRDefault="00A37EB7" w:rsidP="00497FD8">
            <w:pPr>
              <w:rPr>
                <w:rFonts w:ascii="Arial Narrow" w:hAnsi="Arial Narrow" w:cs="Arial"/>
                <w:b/>
                <w:sz w:val="18"/>
                <w:szCs w:val="18"/>
              </w:rPr>
            </w:pPr>
            <w:r w:rsidRPr="00E049FF">
              <w:rPr>
                <w:rFonts w:ascii="Arial Narrow" w:hAnsi="Arial Narrow" w:cs="Arial"/>
                <w:b/>
                <w:sz w:val="18"/>
                <w:szCs w:val="18"/>
              </w:rPr>
              <w:t>Stock</w:t>
            </w:r>
          </w:p>
        </w:tc>
        <w:tc>
          <w:tcPr>
            <w:tcW w:w="547" w:type="pct"/>
            <w:tcBorders>
              <w:top w:val="single" w:sz="4" w:space="0" w:color="auto"/>
              <w:bottom w:val="single" w:sz="4" w:space="0" w:color="auto"/>
            </w:tcBorders>
            <w:shd w:val="clear" w:color="auto" w:fill="auto"/>
            <w:vAlign w:val="center"/>
          </w:tcPr>
          <w:p w14:paraId="70DE186B" w14:textId="77777777" w:rsidR="00A37EB7" w:rsidRPr="00E049FF" w:rsidRDefault="00A37EB7" w:rsidP="00497FD8">
            <w:pPr>
              <w:jc w:val="right"/>
              <w:rPr>
                <w:rFonts w:ascii="Arial Narrow" w:hAnsi="Arial Narrow" w:cs="Arial"/>
                <w:b/>
                <w:bCs/>
                <w:sz w:val="18"/>
                <w:szCs w:val="18"/>
                <w:lang w:eastAsia="en-NZ"/>
              </w:rPr>
            </w:pPr>
            <w:r w:rsidRPr="00E049FF">
              <w:rPr>
                <w:rFonts w:ascii="Arial Narrow" w:hAnsi="Arial Narrow" w:cs="Arial"/>
                <w:b/>
                <w:bCs/>
                <w:sz w:val="18"/>
                <w:szCs w:val="18"/>
              </w:rPr>
              <w:t>Interim</w:t>
            </w:r>
          </w:p>
        </w:tc>
        <w:tc>
          <w:tcPr>
            <w:tcW w:w="625" w:type="pct"/>
            <w:tcBorders>
              <w:top w:val="single" w:sz="4" w:space="0" w:color="auto"/>
              <w:bottom w:val="single" w:sz="4" w:space="0" w:color="auto"/>
            </w:tcBorders>
            <w:shd w:val="clear" w:color="auto" w:fill="auto"/>
            <w:vAlign w:val="center"/>
          </w:tcPr>
          <w:p w14:paraId="135BB949" w14:textId="77777777" w:rsidR="00A37EB7" w:rsidRPr="00E049FF" w:rsidRDefault="00A37EB7" w:rsidP="00497FD8">
            <w:pPr>
              <w:jc w:val="right"/>
              <w:rPr>
                <w:rFonts w:ascii="Arial Narrow" w:hAnsi="Arial Narrow" w:cs="Arial"/>
                <w:b/>
                <w:bCs/>
                <w:sz w:val="18"/>
                <w:szCs w:val="18"/>
              </w:rPr>
            </w:pPr>
            <w:r w:rsidRPr="00E049FF">
              <w:rPr>
                <w:rFonts w:ascii="Arial Narrow" w:hAnsi="Arial Narrow" w:cs="Arial"/>
                <w:b/>
                <w:bCs/>
                <w:sz w:val="18"/>
                <w:szCs w:val="18"/>
              </w:rPr>
              <w:t>Annual 100-120%</w:t>
            </w:r>
          </w:p>
        </w:tc>
        <w:tc>
          <w:tcPr>
            <w:tcW w:w="607" w:type="pct"/>
            <w:tcBorders>
              <w:top w:val="single" w:sz="4" w:space="0" w:color="auto"/>
              <w:bottom w:val="single" w:sz="4" w:space="0" w:color="auto"/>
            </w:tcBorders>
            <w:shd w:val="clear" w:color="auto" w:fill="auto"/>
            <w:vAlign w:val="center"/>
          </w:tcPr>
          <w:p w14:paraId="40DFD519" w14:textId="77777777" w:rsidR="00A37EB7" w:rsidRPr="00E049FF" w:rsidRDefault="00A37EB7" w:rsidP="00497FD8">
            <w:pPr>
              <w:jc w:val="right"/>
              <w:rPr>
                <w:rFonts w:ascii="Arial Narrow" w:hAnsi="Arial Narrow" w:cs="Arial"/>
                <w:b/>
                <w:bCs/>
                <w:sz w:val="18"/>
                <w:szCs w:val="18"/>
              </w:rPr>
            </w:pPr>
            <w:r w:rsidRPr="00E049FF">
              <w:rPr>
                <w:rFonts w:ascii="Arial Narrow" w:hAnsi="Arial Narrow" w:cs="Arial"/>
                <w:b/>
                <w:bCs/>
                <w:sz w:val="18"/>
                <w:szCs w:val="18"/>
              </w:rPr>
              <w:t>Annual 120-140%</w:t>
            </w:r>
          </w:p>
        </w:tc>
        <w:tc>
          <w:tcPr>
            <w:tcW w:w="552" w:type="pct"/>
            <w:tcBorders>
              <w:top w:val="single" w:sz="4" w:space="0" w:color="auto"/>
              <w:bottom w:val="single" w:sz="4" w:space="0" w:color="auto"/>
            </w:tcBorders>
            <w:shd w:val="clear" w:color="auto" w:fill="auto"/>
            <w:vAlign w:val="center"/>
          </w:tcPr>
          <w:p w14:paraId="65FF0708" w14:textId="77777777" w:rsidR="00A37EB7" w:rsidRPr="00E049FF" w:rsidRDefault="00A37EB7" w:rsidP="00497FD8">
            <w:pPr>
              <w:jc w:val="right"/>
              <w:rPr>
                <w:rFonts w:ascii="Arial Narrow" w:hAnsi="Arial Narrow" w:cs="Arial"/>
                <w:b/>
                <w:bCs/>
                <w:sz w:val="18"/>
                <w:szCs w:val="18"/>
              </w:rPr>
            </w:pPr>
            <w:r w:rsidRPr="00E049FF">
              <w:rPr>
                <w:rFonts w:ascii="Arial Narrow" w:hAnsi="Arial Narrow" w:cs="Arial"/>
                <w:b/>
                <w:bCs/>
                <w:sz w:val="18"/>
                <w:szCs w:val="18"/>
              </w:rPr>
              <w:t>Annual 140-160%</w:t>
            </w:r>
          </w:p>
        </w:tc>
        <w:tc>
          <w:tcPr>
            <w:tcW w:w="552" w:type="pct"/>
            <w:tcBorders>
              <w:top w:val="single" w:sz="4" w:space="0" w:color="auto"/>
              <w:bottom w:val="single" w:sz="4" w:space="0" w:color="auto"/>
            </w:tcBorders>
            <w:shd w:val="clear" w:color="auto" w:fill="auto"/>
            <w:vAlign w:val="center"/>
          </w:tcPr>
          <w:p w14:paraId="03BDADC7" w14:textId="77777777" w:rsidR="00A37EB7" w:rsidRPr="00E049FF" w:rsidRDefault="00A37EB7" w:rsidP="00497FD8">
            <w:pPr>
              <w:jc w:val="right"/>
              <w:rPr>
                <w:rFonts w:ascii="Arial Narrow" w:hAnsi="Arial Narrow" w:cs="Arial"/>
                <w:b/>
                <w:bCs/>
                <w:sz w:val="18"/>
                <w:szCs w:val="18"/>
              </w:rPr>
            </w:pPr>
            <w:r w:rsidRPr="00E049FF">
              <w:rPr>
                <w:rFonts w:ascii="Arial Narrow" w:hAnsi="Arial Narrow" w:cs="Arial"/>
                <w:b/>
                <w:bCs/>
                <w:sz w:val="18"/>
                <w:szCs w:val="18"/>
              </w:rPr>
              <w:t>Annual 160-180%</w:t>
            </w:r>
          </w:p>
        </w:tc>
        <w:tc>
          <w:tcPr>
            <w:tcW w:w="552" w:type="pct"/>
            <w:tcBorders>
              <w:top w:val="single" w:sz="4" w:space="0" w:color="auto"/>
              <w:bottom w:val="single" w:sz="4" w:space="0" w:color="auto"/>
            </w:tcBorders>
            <w:shd w:val="clear" w:color="auto" w:fill="auto"/>
            <w:vAlign w:val="center"/>
          </w:tcPr>
          <w:p w14:paraId="1EC0660A" w14:textId="77777777" w:rsidR="00A37EB7" w:rsidRPr="00E049FF" w:rsidRDefault="00A37EB7" w:rsidP="00497FD8">
            <w:pPr>
              <w:jc w:val="right"/>
              <w:rPr>
                <w:rFonts w:ascii="Arial Narrow" w:hAnsi="Arial Narrow" w:cs="Arial"/>
                <w:b/>
                <w:bCs/>
                <w:sz w:val="18"/>
                <w:szCs w:val="18"/>
              </w:rPr>
            </w:pPr>
            <w:r w:rsidRPr="00E049FF">
              <w:rPr>
                <w:rFonts w:ascii="Arial Narrow" w:hAnsi="Arial Narrow" w:cs="Arial"/>
                <w:b/>
                <w:bCs/>
                <w:sz w:val="18"/>
                <w:szCs w:val="18"/>
              </w:rPr>
              <w:t>Annual 180-200%</w:t>
            </w:r>
          </w:p>
        </w:tc>
        <w:tc>
          <w:tcPr>
            <w:tcW w:w="548" w:type="pct"/>
            <w:tcBorders>
              <w:top w:val="single" w:sz="4" w:space="0" w:color="auto"/>
              <w:bottom w:val="single" w:sz="4" w:space="0" w:color="auto"/>
            </w:tcBorders>
            <w:shd w:val="clear" w:color="auto" w:fill="auto"/>
            <w:vAlign w:val="center"/>
          </w:tcPr>
          <w:p w14:paraId="561750B1" w14:textId="77777777" w:rsidR="00A37EB7" w:rsidRPr="00E049FF" w:rsidRDefault="00A37EB7" w:rsidP="00497FD8">
            <w:pPr>
              <w:jc w:val="right"/>
              <w:rPr>
                <w:rFonts w:ascii="Arial Narrow" w:hAnsi="Arial Narrow" w:cs="Arial"/>
                <w:b/>
                <w:bCs/>
                <w:sz w:val="18"/>
                <w:szCs w:val="18"/>
              </w:rPr>
            </w:pPr>
            <w:r w:rsidRPr="00E049FF">
              <w:rPr>
                <w:rFonts w:ascii="Arial Narrow" w:hAnsi="Arial Narrow" w:cs="Arial"/>
                <w:b/>
                <w:bCs/>
                <w:sz w:val="18"/>
                <w:szCs w:val="18"/>
              </w:rPr>
              <w:t>Annual 200%+</w:t>
            </w:r>
          </w:p>
        </w:tc>
      </w:tr>
      <w:tr w:rsidR="006A1E77" w:rsidRPr="00E049FF" w14:paraId="52949356" w14:textId="77777777" w:rsidTr="00CE3C36">
        <w:trPr>
          <w:trHeight w:hRule="exact" w:val="255"/>
          <w:jc w:val="center"/>
        </w:trPr>
        <w:tc>
          <w:tcPr>
            <w:tcW w:w="471" w:type="pct"/>
            <w:vMerge w:val="restart"/>
            <w:tcBorders>
              <w:top w:val="single" w:sz="4" w:space="0" w:color="auto"/>
            </w:tcBorders>
            <w:textDirection w:val="btLr"/>
            <w:vAlign w:val="center"/>
          </w:tcPr>
          <w:p w14:paraId="11FB231A" w14:textId="16444A09" w:rsidR="006A1E77" w:rsidRPr="00CE3C36" w:rsidRDefault="006A1E77" w:rsidP="006A1E77">
            <w:pPr>
              <w:ind w:left="113" w:right="113"/>
              <w:jc w:val="center"/>
              <w:rPr>
                <w:rFonts w:ascii="Arial Narrow" w:hAnsi="Arial Narrow" w:cs="Tahoma"/>
                <w:b/>
                <w:sz w:val="18"/>
                <w:szCs w:val="18"/>
              </w:rPr>
            </w:pPr>
            <w:r w:rsidRPr="00CE3C36">
              <w:rPr>
                <w:rFonts w:ascii="Arial Narrow" w:hAnsi="Arial Narrow" w:cs="Tahoma"/>
                <w:b/>
                <w:sz w:val="18"/>
                <w:szCs w:val="18"/>
              </w:rPr>
              <w:t>Existing</w:t>
            </w:r>
          </w:p>
        </w:tc>
        <w:tc>
          <w:tcPr>
            <w:tcW w:w="547" w:type="pct"/>
            <w:tcBorders>
              <w:top w:val="single" w:sz="4" w:space="0" w:color="auto"/>
              <w:bottom w:val="nil"/>
            </w:tcBorders>
            <w:vAlign w:val="center"/>
          </w:tcPr>
          <w:p w14:paraId="5242611E" w14:textId="589CC9EB" w:rsidR="006A1E77" w:rsidRPr="00E049FF" w:rsidRDefault="006A1E77" w:rsidP="00E049FF">
            <w:pPr>
              <w:jc w:val="center"/>
              <w:rPr>
                <w:rFonts w:ascii="Arial Narrow" w:hAnsi="Arial Narrow" w:cs="Tahoma"/>
                <w:sz w:val="18"/>
                <w:szCs w:val="18"/>
              </w:rPr>
            </w:pPr>
            <w:r w:rsidRPr="00E049FF">
              <w:rPr>
                <w:rFonts w:ascii="Arial Narrow" w:hAnsi="Arial Narrow" w:cs="Tahoma"/>
                <w:sz w:val="18"/>
                <w:szCs w:val="18"/>
              </w:rPr>
              <w:t>RBY1</w:t>
            </w:r>
          </w:p>
        </w:tc>
        <w:tc>
          <w:tcPr>
            <w:tcW w:w="547" w:type="pct"/>
            <w:tcBorders>
              <w:top w:val="single" w:sz="4" w:space="0" w:color="auto"/>
              <w:left w:val="nil"/>
              <w:bottom w:val="nil"/>
              <w:right w:val="nil"/>
            </w:tcBorders>
            <w:shd w:val="clear" w:color="auto" w:fill="auto"/>
            <w:vAlign w:val="center"/>
          </w:tcPr>
          <w:p w14:paraId="57948B52" w14:textId="59621B0C" w:rsidR="006A1E77" w:rsidRPr="00E049FF" w:rsidRDefault="006A1E77" w:rsidP="00E049FF">
            <w:pPr>
              <w:jc w:val="center"/>
              <w:rPr>
                <w:rFonts w:ascii="Arial Narrow" w:hAnsi="Arial Narrow" w:cs="Tahoma"/>
                <w:sz w:val="18"/>
                <w:szCs w:val="18"/>
              </w:rPr>
            </w:pPr>
            <w:r w:rsidRPr="00E049FF">
              <w:rPr>
                <w:rFonts w:ascii="Arial Narrow" w:hAnsi="Arial Narrow" w:cs="Tahoma"/>
                <w:sz w:val="18"/>
                <w:szCs w:val="18"/>
              </w:rPr>
              <w:t>0.14</w:t>
            </w:r>
          </w:p>
        </w:tc>
        <w:tc>
          <w:tcPr>
            <w:tcW w:w="625" w:type="pct"/>
            <w:tcBorders>
              <w:top w:val="single" w:sz="4" w:space="0" w:color="auto"/>
              <w:left w:val="nil"/>
              <w:bottom w:val="nil"/>
              <w:right w:val="nil"/>
            </w:tcBorders>
            <w:shd w:val="clear" w:color="auto" w:fill="auto"/>
            <w:vAlign w:val="center"/>
          </w:tcPr>
          <w:p w14:paraId="78B1B74E" w14:textId="733DAAE1" w:rsidR="006A1E77" w:rsidRPr="00E049FF" w:rsidRDefault="006A1E77" w:rsidP="00E049FF">
            <w:pPr>
              <w:jc w:val="center"/>
              <w:rPr>
                <w:rFonts w:ascii="Arial Narrow" w:hAnsi="Arial Narrow" w:cs="Tahoma"/>
                <w:sz w:val="18"/>
                <w:szCs w:val="18"/>
              </w:rPr>
            </w:pPr>
            <w:r w:rsidRPr="00E049FF">
              <w:rPr>
                <w:rFonts w:ascii="Arial Narrow" w:hAnsi="Arial Narrow" w:cs="Tahoma"/>
                <w:sz w:val="18"/>
                <w:szCs w:val="18"/>
              </w:rPr>
              <w:t>0.28</w:t>
            </w:r>
          </w:p>
        </w:tc>
        <w:tc>
          <w:tcPr>
            <w:tcW w:w="607" w:type="pct"/>
            <w:tcBorders>
              <w:top w:val="single" w:sz="4" w:space="0" w:color="auto"/>
              <w:left w:val="nil"/>
              <w:bottom w:val="nil"/>
              <w:right w:val="nil"/>
            </w:tcBorders>
            <w:shd w:val="clear" w:color="auto" w:fill="auto"/>
            <w:vAlign w:val="center"/>
          </w:tcPr>
          <w:p w14:paraId="54D22877" w14:textId="7B590095" w:rsidR="006A1E77" w:rsidRPr="00E049FF" w:rsidRDefault="006A1E77" w:rsidP="00E049FF">
            <w:pPr>
              <w:jc w:val="center"/>
              <w:rPr>
                <w:rFonts w:ascii="Arial Narrow" w:hAnsi="Arial Narrow" w:cs="Tahoma"/>
                <w:sz w:val="18"/>
                <w:szCs w:val="18"/>
              </w:rPr>
            </w:pPr>
            <w:r w:rsidRPr="00E049FF">
              <w:rPr>
                <w:rFonts w:ascii="Arial Narrow" w:hAnsi="Arial Narrow" w:cs="Tahoma"/>
                <w:sz w:val="18"/>
                <w:szCs w:val="18"/>
              </w:rPr>
              <w:t>0.336</w:t>
            </w:r>
          </w:p>
        </w:tc>
        <w:tc>
          <w:tcPr>
            <w:tcW w:w="552" w:type="pct"/>
            <w:tcBorders>
              <w:top w:val="single" w:sz="4" w:space="0" w:color="auto"/>
              <w:left w:val="nil"/>
              <w:bottom w:val="nil"/>
              <w:right w:val="nil"/>
            </w:tcBorders>
            <w:shd w:val="clear" w:color="auto" w:fill="auto"/>
            <w:vAlign w:val="center"/>
          </w:tcPr>
          <w:p w14:paraId="1D674442" w14:textId="2078548F" w:rsidR="006A1E77" w:rsidRPr="00E049FF" w:rsidRDefault="006A1E77" w:rsidP="00E049FF">
            <w:pPr>
              <w:jc w:val="center"/>
              <w:rPr>
                <w:rFonts w:ascii="Arial Narrow" w:hAnsi="Arial Narrow" w:cs="Tahoma"/>
                <w:sz w:val="18"/>
                <w:szCs w:val="18"/>
              </w:rPr>
            </w:pPr>
            <w:r w:rsidRPr="00E049FF">
              <w:rPr>
                <w:rFonts w:ascii="Arial Narrow" w:hAnsi="Arial Narrow" w:cs="Tahoma"/>
                <w:sz w:val="18"/>
                <w:szCs w:val="18"/>
              </w:rPr>
              <w:t>0.392</w:t>
            </w:r>
          </w:p>
        </w:tc>
        <w:tc>
          <w:tcPr>
            <w:tcW w:w="552" w:type="pct"/>
            <w:tcBorders>
              <w:top w:val="single" w:sz="4" w:space="0" w:color="auto"/>
              <w:left w:val="nil"/>
              <w:bottom w:val="nil"/>
              <w:right w:val="nil"/>
            </w:tcBorders>
            <w:shd w:val="clear" w:color="auto" w:fill="auto"/>
            <w:vAlign w:val="center"/>
          </w:tcPr>
          <w:p w14:paraId="1DB26874" w14:textId="4350B250" w:rsidR="006A1E77" w:rsidRPr="00E049FF" w:rsidRDefault="006A1E77" w:rsidP="00E049FF">
            <w:pPr>
              <w:jc w:val="center"/>
              <w:rPr>
                <w:rFonts w:ascii="Arial Narrow" w:hAnsi="Arial Narrow" w:cs="Tahoma"/>
                <w:sz w:val="18"/>
                <w:szCs w:val="18"/>
              </w:rPr>
            </w:pPr>
            <w:r w:rsidRPr="00E049FF">
              <w:rPr>
                <w:rFonts w:ascii="Arial Narrow" w:hAnsi="Arial Narrow" w:cs="Tahoma"/>
                <w:sz w:val="18"/>
                <w:szCs w:val="18"/>
              </w:rPr>
              <w:t>0.448</w:t>
            </w:r>
          </w:p>
        </w:tc>
        <w:tc>
          <w:tcPr>
            <w:tcW w:w="552" w:type="pct"/>
            <w:tcBorders>
              <w:top w:val="single" w:sz="4" w:space="0" w:color="auto"/>
              <w:left w:val="nil"/>
              <w:bottom w:val="nil"/>
              <w:right w:val="nil"/>
            </w:tcBorders>
            <w:shd w:val="clear" w:color="auto" w:fill="auto"/>
            <w:vAlign w:val="center"/>
          </w:tcPr>
          <w:p w14:paraId="605DE0C3" w14:textId="09D58207" w:rsidR="006A1E77" w:rsidRPr="00E049FF" w:rsidRDefault="006A1E77" w:rsidP="00E049FF">
            <w:pPr>
              <w:jc w:val="center"/>
              <w:rPr>
                <w:rFonts w:ascii="Arial Narrow" w:hAnsi="Arial Narrow" w:cs="Tahoma"/>
                <w:sz w:val="18"/>
                <w:szCs w:val="18"/>
              </w:rPr>
            </w:pPr>
            <w:r w:rsidRPr="00E049FF">
              <w:rPr>
                <w:rFonts w:ascii="Arial Narrow" w:hAnsi="Arial Narrow" w:cs="Tahoma"/>
                <w:sz w:val="18"/>
                <w:szCs w:val="18"/>
              </w:rPr>
              <w:t>0.504</w:t>
            </w:r>
          </w:p>
        </w:tc>
        <w:tc>
          <w:tcPr>
            <w:tcW w:w="548" w:type="pct"/>
            <w:tcBorders>
              <w:top w:val="single" w:sz="4" w:space="0" w:color="auto"/>
              <w:left w:val="nil"/>
              <w:bottom w:val="nil"/>
              <w:right w:val="nil"/>
            </w:tcBorders>
            <w:shd w:val="clear" w:color="auto" w:fill="auto"/>
            <w:vAlign w:val="center"/>
          </w:tcPr>
          <w:p w14:paraId="0C8482A4" w14:textId="5EEA0DA6" w:rsidR="006A1E77" w:rsidRPr="00E049FF" w:rsidRDefault="006A1E77" w:rsidP="00E049FF">
            <w:pPr>
              <w:jc w:val="center"/>
              <w:rPr>
                <w:rFonts w:ascii="Arial Narrow" w:hAnsi="Arial Narrow" w:cs="Tahoma"/>
                <w:sz w:val="18"/>
                <w:szCs w:val="18"/>
              </w:rPr>
            </w:pPr>
            <w:r w:rsidRPr="00E049FF">
              <w:rPr>
                <w:rFonts w:ascii="Arial Narrow" w:hAnsi="Arial Narrow" w:cs="Tahoma"/>
                <w:sz w:val="18"/>
                <w:szCs w:val="18"/>
              </w:rPr>
              <w:t>0.56</w:t>
            </w:r>
          </w:p>
        </w:tc>
      </w:tr>
      <w:tr w:rsidR="006A1E77" w:rsidRPr="00E049FF" w14:paraId="31C2E2AB" w14:textId="77777777" w:rsidTr="00CE3C36">
        <w:trPr>
          <w:trHeight w:hRule="exact" w:val="255"/>
          <w:jc w:val="center"/>
        </w:trPr>
        <w:tc>
          <w:tcPr>
            <w:tcW w:w="471" w:type="pct"/>
            <w:vMerge/>
          </w:tcPr>
          <w:p w14:paraId="0AF80078" w14:textId="77777777" w:rsidR="006A1E77" w:rsidRPr="00CE3C36" w:rsidRDefault="006A1E77" w:rsidP="00497FD8">
            <w:pPr>
              <w:rPr>
                <w:rFonts w:ascii="Arial Narrow" w:hAnsi="Arial Narrow" w:cs="Tahoma"/>
                <w:b/>
                <w:sz w:val="18"/>
                <w:szCs w:val="18"/>
              </w:rPr>
            </w:pPr>
          </w:p>
        </w:tc>
        <w:tc>
          <w:tcPr>
            <w:tcW w:w="547" w:type="pct"/>
            <w:tcBorders>
              <w:top w:val="nil"/>
              <w:bottom w:val="nil"/>
            </w:tcBorders>
            <w:vAlign w:val="center"/>
          </w:tcPr>
          <w:p w14:paraId="79CD5EBB" w14:textId="6A7E510B" w:rsidR="006A1E77" w:rsidRPr="00E049FF" w:rsidRDefault="006A1E77" w:rsidP="00E049FF">
            <w:pPr>
              <w:jc w:val="center"/>
              <w:rPr>
                <w:rFonts w:ascii="Arial Narrow" w:hAnsi="Arial Narrow" w:cs="Tahoma"/>
                <w:sz w:val="18"/>
                <w:szCs w:val="18"/>
              </w:rPr>
            </w:pPr>
            <w:r w:rsidRPr="00E049FF">
              <w:rPr>
                <w:rFonts w:ascii="Arial Narrow" w:hAnsi="Arial Narrow" w:cs="Tahoma"/>
                <w:sz w:val="18"/>
                <w:szCs w:val="18"/>
              </w:rPr>
              <w:t>RBY2</w:t>
            </w:r>
          </w:p>
        </w:tc>
        <w:tc>
          <w:tcPr>
            <w:tcW w:w="547" w:type="pct"/>
            <w:tcBorders>
              <w:top w:val="nil"/>
              <w:left w:val="nil"/>
              <w:bottom w:val="nil"/>
              <w:right w:val="nil"/>
            </w:tcBorders>
            <w:shd w:val="clear" w:color="auto" w:fill="auto"/>
            <w:vAlign w:val="center"/>
          </w:tcPr>
          <w:p w14:paraId="56B820D2" w14:textId="23B490C6" w:rsidR="006A1E77" w:rsidRPr="00E049FF" w:rsidRDefault="006A1E77" w:rsidP="00E049FF">
            <w:pPr>
              <w:jc w:val="center"/>
              <w:rPr>
                <w:rFonts w:ascii="Arial Narrow" w:hAnsi="Arial Narrow" w:cs="Tahoma"/>
                <w:sz w:val="18"/>
                <w:szCs w:val="18"/>
              </w:rPr>
            </w:pPr>
            <w:r w:rsidRPr="00E049FF">
              <w:rPr>
                <w:rFonts w:ascii="Arial Narrow" w:hAnsi="Arial Narrow" w:cs="Tahoma"/>
                <w:sz w:val="18"/>
                <w:szCs w:val="18"/>
              </w:rPr>
              <w:t>0.11</w:t>
            </w:r>
          </w:p>
        </w:tc>
        <w:tc>
          <w:tcPr>
            <w:tcW w:w="625" w:type="pct"/>
            <w:tcBorders>
              <w:top w:val="nil"/>
              <w:left w:val="nil"/>
              <w:bottom w:val="nil"/>
              <w:right w:val="nil"/>
            </w:tcBorders>
            <w:shd w:val="clear" w:color="auto" w:fill="auto"/>
            <w:vAlign w:val="center"/>
          </w:tcPr>
          <w:p w14:paraId="70CFFFEA" w14:textId="1FD165F0" w:rsidR="006A1E77" w:rsidRPr="00E049FF" w:rsidRDefault="006A1E77" w:rsidP="00E049FF">
            <w:pPr>
              <w:jc w:val="center"/>
              <w:rPr>
                <w:rFonts w:ascii="Arial Narrow" w:hAnsi="Arial Narrow" w:cs="Tahoma"/>
                <w:sz w:val="18"/>
                <w:szCs w:val="18"/>
              </w:rPr>
            </w:pPr>
            <w:r w:rsidRPr="00E049FF">
              <w:rPr>
                <w:rFonts w:ascii="Arial Narrow" w:hAnsi="Arial Narrow" w:cs="Tahoma"/>
                <w:sz w:val="18"/>
                <w:szCs w:val="18"/>
              </w:rPr>
              <w:t>0.21</w:t>
            </w:r>
          </w:p>
        </w:tc>
        <w:tc>
          <w:tcPr>
            <w:tcW w:w="2810" w:type="pct"/>
            <w:gridSpan w:val="5"/>
            <w:vMerge w:val="restart"/>
            <w:tcBorders>
              <w:top w:val="nil"/>
              <w:left w:val="nil"/>
              <w:bottom w:val="nil"/>
              <w:right w:val="nil"/>
            </w:tcBorders>
            <w:shd w:val="clear" w:color="auto" w:fill="auto"/>
            <w:vAlign w:val="center"/>
          </w:tcPr>
          <w:p w14:paraId="757F5A94" w14:textId="0A5EDE09" w:rsidR="006A1E77" w:rsidRPr="00E049FF" w:rsidRDefault="006A1E77" w:rsidP="00E049FF">
            <w:pPr>
              <w:jc w:val="center"/>
              <w:rPr>
                <w:rFonts w:ascii="Arial Narrow" w:hAnsi="Arial Narrow" w:cs="Tahoma"/>
                <w:sz w:val="18"/>
                <w:szCs w:val="18"/>
              </w:rPr>
            </w:pPr>
            <w:r w:rsidRPr="00E049FF">
              <w:rPr>
                <w:rFonts w:ascii="Arial Narrow" w:hAnsi="Arial Narrow" w:cs="Tahoma"/>
                <w:sz w:val="18"/>
                <w:szCs w:val="18"/>
              </w:rPr>
              <w:t>Differential deemed value rates do not apply</w:t>
            </w:r>
          </w:p>
        </w:tc>
      </w:tr>
      <w:tr w:rsidR="006A1E77" w:rsidRPr="00E049FF" w14:paraId="5628CFF2" w14:textId="77777777" w:rsidTr="00CE3C36">
        <w:trPr>
          <w:trHeight w:hRule="exact" w:val="255"/>
          <w:jc w:val="center"/>
        </w:trPr>
        <w:tc>
          <w:tcPr>
            <w:tcW w:w="471" w:type="pct"/>
            <w:vMerge/>
          </w:tcPr>
          <w:p w14:paraId="3A11DE40" w14:textId="77777777" w:rsidR="006A1E77" w:rsidRPr="00CE3C36" w:rsidRDefault="006A1E77" w:rsidP="00497FD8">
            <w:pPr>
              <w:rPr>
                <w:rFonts w:ascii="Arial Narrow" w:hAnsi="Arial Narrow" w:cs="Tahoma"/>
                <w:b/>
                <w:sz w:val="18"/>
                <w:szCs w:val="18"/>
              </w:rPr>
            </w:pPr>
          </w:p>
        </w:tc>
        <w:tc>
          <w:tcPr>
            <w:tcW w:w="547" w:type="pct"/>
            <w:tcBorders>
              <w:top w:val="nil"/>
              <w:bottom w:val="nil"/>
            </w:tcBorders>
            <w:vAlign w:val="center"/>
          </w:tcPr>
          <w:p w14:paraId="00BE4B57" w14:textId="074721DF" w:rsidR="006A1E77" w:rsidRPr="00E049FF" w:rsidRDefault="00C71FB1" w:rsidP="00E049FF">
            <w:pPr>
              <w:jc w:val="center"/>
              <w:rPr>
                <w:rFonts w:ascii="Arial Narrow" w:hAnsi="Arial Narrow" w:cs="Tahoma"/>
                <w:sz w:val="18"/>
                <w:szCs w:val="18"/>
              </w:rPr>
            </w:pPr>
            <w:r>
              <w:rPr>
                <w:rFonts w:ascii="Arial Narrow" w:hAnsi="Arial Narrow" w:cs="Tahoma"/>
                <w:sz w:val="18"/>
                <w:szCs w:val="18"/>
              </w:rPr>
              <w:t>RBY 3</w:t>
            </w:r>
          </w:p>
        </w:tc>
        <w:tc>
          <w:tcPr>
            <w:tcW w:w="547" w:type="pct"/>
            <w:tcBorders>
              <w:top w:val="nil"/>
              <w:left w:val="nil"/>
              <w:bottom w:val="nil"/>
              <w:right w:val="nil"/>
            </w:tcBorders>
            <w:shd w:val="clear" w:color="auto" w:fill="auto"/>
            <w:vAlign w:val="center"/>
          </w:tcPr>
          <w:p w14:paraId="1F5CEA8D" w14:textId="6122C79B" w:rsidR="006A1E77" w:rsidRPr="00E049FF" w:rsidRDefault="006A1E77" w:rsidP="00E049FF">
            <w:pPr>
              <w:jc w:val="center"/>
              <w:rPr>
                <w:rFonts w:ascii="Arial Narrow" w:hAnsi="Arial Narrow" w:cs="Tahoma"/>
                <w:sz w:val="18"/>
                <w:szCs w:val="18"/>
              </w:rPr>
            </w:pPr>
            <w:r w:rsidRPr="00E049FF">
              <w:rPr>
                <w:rFonts w:ascii="Arial Narrow" w:hAnsi="Arial Narrow" w:cs="Tahoma"/>
                <w:sz w:val="18"/>
                <w:szCs w:val="18"/>
              </w:rPr>
              <w:t>0.10</w:t>
            </w:r>
          </w:p>
        </w:tc>
        <w:tc>
          <w:tcPr>
            <w:tcW w:w="625" w:type="pct"/>
            <w:tcBorders>
              <w:top w:val="nil"/>
              <w:left w:val="nil"/>
              <w:bottom w:val="nil"/>
              <w:right w:val="nil"/>
            </w:tcBorders>
            <w:shd w:val="clear" w:color="auto" w:fill="auto"/>
            <w:vAlign w:val="center"/>
          </w:tcPr>
          <w:p w14:paraId="4A9EE190" w14:textId="3F4066C1" w:rsidR="006A1E77" w:rsidRPr="00E049FF" w:rsidRDefault="006A1E77" w:rsidP="00E049FF">
            <w:pPr>
              <w:jc w:val="center"/>
              <w:rPr>
                <w:rFonts w:ascii="Arial Narrow" w:hAnsi="Arial Narrow" w:cs="Tahoma"/>
                <w:sz w:val="18"/>
                <w:szCs w:val="18"/>
              </w:rPr>
            </w:pPr>
            <w:r w:rsidRPr="00E049FF">
              <w:rPr>
                <w:rFonts w:ascii="Arial Narrow" w:hAnsi="Arial Narrow" w:cs="Tahoma"/>
                <w:sz w:val="18"/>
                <w:szCs w:val="18"/>
              </w:rPr>
              <w:t>0.19</w:t>
            </w:r>
          </w:p>
        </w:tc>
        <w:tc>
          <w:tcPr>
            <w:tcW w:w="2810" w:type="pct"/>
            <w:gridSpan w:val="5"/>
            <w:vMerge/>
            <w:tcBorders>
              <w:top w:val="nil"/>
              <w:left w:val="nil"/>
              <w:bottom w:val="nil"/>
              <w:right w:val="nil"/>
            </w:tcBorders>
            <w:shd w:val="clear" w:color="auto" w:fill="auto"/>
            <w:vAlign w:val="center"/>
          </w:tcPr>
          <w:p w14:paraId="35C15D66" w14:textId="77777777" w:rsidR="006A1E77" w:rsidRPr="00E049FF" w:rsidRDefault="006A1E77" w:rsidP="00E049FF">
            <w:pPr>
              <w:jc w:val="center"/>
              <w:rPr>
                <w:rFonts w:ascii="Arial Narrow" w:hAnsi="Arial Narrow" w:cs="Tahoma"/>
                <w:sz w:val="18"/>
                <w:szCs w:val="18"/>
              </w:rPr>
            </w:pPr>
          </w:p>
        </w:tc>
      </w:tr>
      <w:tr w:rsidR="006A1E77" w:rsidRPr="00E049FF" w14:paraId="25BF550F" w14:textId="77777777" w:rsidTr="00CE3C36">
        <w:trPr>
          <w:trHeight w:hRule="exact" w:val="255"/>
          <w:jc w:val="center"/>
        </w:trPr>
        <w:tc>
          <w:tcPr>
            <w:tcW w:w="471" w:type="pct"/>
            <w:vMerge/>
          </w:tcPr>
          <w:p w14:paraId="33632E16" w14:textId="77777777" w:rsidR="006A1E77" w:rsidRPr="00CE3C36" w:rsidRDefault="006A1E77" w:rsidP="00497FD8">
            <w:pPr>
              <w:rPr>
                <w:rFonts w:ascii="Arial Narrow" w:hAnsi="Arial Narrow" w:cs="Tahoma"/>
                <w:b/>
                <w:sz w:val="18"/>
                <w:szCs w:val="18"/>
              </w:rPr>
            </w:pPr>
          </w:p>
        </w:tc>
        <w:tc>
          <w:tcPr>
            <w:tcW w:w="547" w:type="pct"/>
            <w:tcBorders>
              <w:top w:val="nil"/>
              <w:bottom w:val="nil"/>
            </w:tcBorders>
            <w:vAlign w:val="center"/>
          </w:tcPr>
          <w:p w14:paraId="20E5D113" w14:textId="0998DDB2" w:rsidR="006A1E77" w:rsidRPr="00E049FF" w:rsidRDefault="00C71FB1" w:rsidP="00E049FF">
            <w:pPr>
              <w:jc w:val="center"/>
              <w:rPr>
                <w:rFonts w:ascii="Arial Narrow" w:hAnsi="Arial Narrow" w:cs="Tahoma"/>
                <w:sz w:val="18"/>
                <w:szCs w:val="18"/>
              </w:rPr>
            </w:pPr>
            <w:r>
              <w:rPr>
                <w:rFonts w:ascii="Arial Narrow" w:hAnsi="Arial Narrow" w:cs="Tahoma"/>
                <w:sz w:val="18"/>
                <w:szCs w:val="18"/>
              </w:rPr>
              <w:t>RBY 4</w:t>
            </w:r>
          </w:p>
        </w:tc>
        <w:tc>
          <w:tcPr>
            <w:tcW w:w="547" w:type="pct"/>
            <w:tcBorders>
              <w:top w:val="nil"/>
              <w:left w:val="nil"/>
              <w:bottom w:val="nil"/>
              <w:right w:val="nil"/>
            </w:tcBorders>
            <w:shd w:val="clear" w:color="auto" w:fill="auto"/>
            <w:vAlign w:val="center"/>
          </w:tcPr>
          <w:p w14:paraId="2B927BA1" w14:textId="0E5070AF" w:rsidR="006A1E77" w:rsidRPr="00E049FF" w:rsidRDefault="006A1E77" w:rsidP="00E049FF">
            <w:pPr>
              <w:jc w:val="center"/>
              <w:rPr>
                <w:rFonts w:ascii="Arial Narrow" w:hAnsi="Arial Narrow" w:cs="Tahoma"/>
                <w:sz w:val="18"/>
                <w:szCs w:val="18"/>
              </w:rPr>
            </w:pPr>
            <w:r w:rsidRPr="00E049FF">
              <w:rPr>
                <w:rFonts w:ascii="Arial Narrow" w:hAnsi="Arial Narrow" w:cs="Tahoma"/>
                <w:sz w:val="18"/>
                <w:szCs w:val="18"/>
              </w:rPr>
              <w:t>0.21</w:t>
            </w:r>
          </w:p>
        </w:tc>
        <w:tc>
          <w:tcPr>
            <w:tcW w:w="625" w:type="pct"/>
            <w:tcBorders>
              <w:top w:val="nil"/>
              <w:left w:val="nil"/>
              <w:bottom w:val="nil"/>
              <w:right w:val="nil"/>
            </w:tcBorders>
            <w:shd w:val="clear" w:color="auto" w:fill="auto"/>
            <w:vAlign w:val="center"/>
          </w:tcPr>
          <w:p w14:paraId="2D9D8C08" w14:textId="24B2C74B" w:rsidR="006A1E77" w:rsidRPr="00E049FF" w:rsidRDefault="006A1E77" w:rsidP="00E049FF">
            <w:pPr>
              <w:jc w:val="center"/>
              <w:rPr>
                <w:rFonts w:ascii="Arial Narrow" w:hAnsi="Arial Narrow" w:cs="Tahoma"/>
                <w:sz w:val="18"/>
                <w:szCs w:val="18"/>
              </w:rPr>
            </w:pPr>
            <w:r w:rsidRPr="00E049FF">
              <w:rPr>
                <w:rFonts w:ascii="Arial Narrow" w:hAnsi="Arial Narrow" w:cs="Tahoma"/>
                <w:sz w:val="18"/>
                <w:szCs w:val="18"/>
              </w:rPr>
              <w:t>0.42</w:t>
            </w:r>
          </w:p>
        </w:tc>
        <w:tc>
          <w:tcPr>
            <w:tcW w:w="607" w:type="pct"/>
            <w:tcBorders>
              <w:top w:val="nil"/>
              <w:left w:val="nil"/>
              <w:bottom w:val="nil"/>
              <w:right w:val="nil"/>
            </w:tcBorders>
            <w:shd w:val="clear" w:color="auto" w:fill="auto"/>
            <w:vAlign w:val="center"/>
          </w:tcPr>
          <w:p w14:paraId="1011DFC2" w14:textId="2A4C1AD3" w:rsidR="006A1E77" w:rsidRPr="00E049FF" w:rsidRDefault="006A1E77" w:rsidP="00E049FF">
            <w:pPr>
              <w:jc w:val="center"/>
              <w:rPr>
                <w:rFonts w:ascii="Arial Narrow" w:hAnsi="Arial Narrow" w:cs="Tahoma"/>
                <w:sz w:val="18"/>
                <w:szCs w:val="18"/>
              </w:rPr>
            </w:pPr>
            <w:r w:rsidRPr="00E049FF">
              <w:rPr>
                <w:rFonts w:ascii="Arial Narrow" w:hAnsi="Arial Narrow" w:cs="Tahoma"/>
                <w:sz w:val="18"/>
                <w:szCs w:val="18"/>
              </w:rPr>
              <w:t>0.504</w:t>
            </w:r>
          </w:p>
        </w:tc>
        <w:tc>
          <w:tcPr>
            <w:tcW w:w="552" w:type="pct"/>
            <w:tcBorders>
              <w:top w:val="nil"/>
              <w:left w:val="nil"/>
              <w:bottom w:val="nil"/>
              <w:right w:val="nil"/>
            </w:tcBorders>
            <w:shd w:val="clear" w:color="auto" w:fill="auto"/>
            <w:vAlign w:val="center"/>
          </w:tcPr>
          <w:p w14:paraId="18C1C895" w14:textId="44ADDA75" w:rsidR="006A1E77" w:rsidRPr="00E049FF" w:rsidRDefault="006A1E77" w:rsidP="00E049FF">
            <w:pPr>
              <w:jc w:val="center"/>
              <w:rPr>
                <w:rFonts w:ascii="Arial Narrow" w:hAnsi="Arial Narrow" w:cs="Tahoma"/>
                <w:sz w:val="18"/>
                <w:szCs w:val="18"/>
              </w:rPr>
            </w:pPr>
            <w:r w:rsidRPr="00E049FF">
              <w:rPr>
                <w:rFonts w:ascii="Arial Narrow" w:hAnsi="Arial Narrow" w:cs="Tahoma"/>
                <w:sz w:val="18"/>
                <w:szCs w:val="18"/>
              </w:rPr>
              <w:t>0.588</w:t>
            </w:r>
          </w:p>
        </w:tc>
        <w:tc>
          <w:tcPr>
            <w:tcW w:w="552" w:type="pct"/>
            <w:tcBorders>
              <w:top w:val="nil"/>
              <w:left w:val="nil"/>
              <w:bottom w:val="nil"/>
              <w:right w:val="nil"/>
            </w:tcBorders>
            <w:shd w:val="clear" w:color="auto" w:fill="auto"/>
            <w:vAlign w:val="center"/>
          </w:tcPr>
          <w:p w14:paraId="5D38AAF5" w14:textId="5CA2911F" w:rsidR="006A1E77" w:rsidRPr="00E049FF" w:rsidRDefault="006A1E77" w:rsidP="00E049FF">
            <w:pPr>
              <w:jc w:val="center"/>
              <w:rPr>
                <w:rFonts w:ascii="Arial Narrow" w:hAnsi="Arial Narrow" w:cs="Tahoma"/>
                <w:sz w:val="18"/>
                <w:szCs w:val="18"/>
              </w:rPr>
            </w:pPr>
            <w:r w:rsidRPr="00E049FF">
              <w:rPr>
                <w:rFonts w:ascii="Arial Narrow" w:hAnsi="Arial Narrow" w:cs="Tahoma"/>
                <w:sz w:val="18"/>
                <w:szCs w:val="18"/>
              </w:rPr>
              <w:t>0.672</w:t>
            </w:r>
          </w:p>
        </w:tc>
        <w:tc>
          <w:tcPr>
            <w:tcW w:w="552" w:type="pct"/>
            <w:tcBorders>
              <w:top w:val="nil"/>
              <w:left w:val="nil"/>
              <w:bottom w:val="nil"/>
              <w:right w:val="nil"/>
            </w:tcBorders>
            <w:shd w:val="clear" w:color="auto" w:fill="auto"/>
            <w:vAlign w:val="center"/>
          </w:tcPr>
          <w:p w14:paraId="620366FF" w14:textId="63A62B33" w:rsidR="006A1E77" w:rsidRPr="00E049FF" w:rsidRDefault="006A1E77" w:rsidP="00E049FF">
            <w:pPr>
              <w:jc w:val="center"/>
              <w:rPr>
                <w:rFonts w:ascii="Arial Narrow" w:hAnsi="Arial Narrow" w:cs="Tahoma"/>
                <w:sz w:val="18"/>
                <w:szCs w:val="18"/>
              </w:rPr>
            </w:pPr>
            <w:r w:rsidRPr="00E049FF">
              <w:rPr>
                <w:rFonts w:ascii="Arial Narrow" w:hAnsi="Arial Narrow" w:cs="Tahoma"/>
                <w:sz w:val="18"/>
                <w:szCs w:val="18"/>
              </w:rPr>
              <w:t>0.756</w:t>
            </w:r>
          </w:p>
        </w:tc>
        <w:tc>
          <w:tcPr>
            <w:tcW w:w="548" w:type="pct"/>
            <w:tcBorders>
              <w:top w:val="nil"/>
              <w:left w:val="nil"/>
              <w:bottom w:val="nil"/>
              <w:right w:val="nil"/>
            </w:tcBorders>
            <w:shd w:val="clear" w:color="auto" w:fill="auto"/>
            <w:vAlign w:val="center"/>
          </w:tcPr>
          <w:p w14:paraId="3793375A" w14:textId="78D434AA" w:rsidR="006A1E77" w:rsidRPr="00E049FF" w:rsidRDefault="006A1E77" w:rsidP="00E049FF">
            <w:pPr>
              <w:jc w:val="center"/>
              <w:rPr>
                <w:rFonts w:ascii="Arial Narrow" w:hAnsi="Arial Narrow" w:cs="Tahoma"/>
                <w:sz w:val="18"/>
                <w:szCs w:val="18"/>
              </w:rPr>
            </w:pPr>
            <w:r w:rsidRPr="00E049FF">
              <w:rPr>
                <w:rFonts w:ascii="Arial Narrow" w:hAnsi="Arial Narrow" w:cs="Tahoma"/>
                <w:sz w:val="18"/>
                <w:szCs w:val="18"/>
              </w:rPr>
              <w:t>0.840</w:t>
            </w:r>
          </w:p>
        </w:tc>
      </w:tr>
      <w:tr w:rsidR="006A1E77" w:rsidRPr="00E049FF" w14:paraId="29621CE2" w14:textId="77777777" w:rsidTr="00CE3C36">
        <w:trPr>
          <w:trHeight w:hRule="exact" w:val="255"/>
          <w:jc w:val="center"/>
        </w:trPr>
        <w:tc>
          <w:tcPr>
            <w:tcW w:w="471" w:type="pct"/>
            <w:vMerge/>
          </w:tcPr>
          <w:p w14:paraId="38E1B19D" w14:textId="77777777" w:rsidR="006A1E77" w:rsidRPr="00CE3C36" w:rsidRDefault="006A1E77" w:rsidP="00497FD8">
            <w:pPr>
              <w:rPr>
                <w:rFonts w:ascii="Arial Narrow" w:hAnsi="Arial Narrow" w:cs="Tahoma"/>
                <w:b/>
                <w:sz w:val="18"/>
                <w:szCs w:val="18"/>
              </w:rPr>
            </w:pPr>
          </w:p>
        </w:tc>
        <w:tc>
          <w:tcPr>
            <w:tcW w:w="547" w:type="pct"/>
            <w:tcBorders>
              <w:top w:val="nil"/>
              <w:bottom w:val="nil"/>
            </w:tcBorders>
            <w:vAlign w:val="center"/>
          </w:tcPr>
          <w:p w14:paraId="41EEEA4D" w14:textId="7EEBD89B" w:rsidR="006A1E77" w:rsidRPr="00E049FF" w:rsidRDefault="006A1E77" w:rsidP="00E049FF">
            <w:pPr>
              <w:jc w:val="center"/>
              <w:rPr>
                <w:rFonts w:ascii="Arial Narrow" w:hAnsi="Arial Narrow" w:cs="Tahoma"/>
                <w:sz w:val="18"/>
                <w:szCs w:val="18"/>
              </w:rPr>
            </w:pPr>
            <w:r w:rsidRPr="00E049FF">
              <w:rPr>
                <w:rFonts w:ascii="Arial Narrow" w:hAnsi="Arial Narrow" w:cs="Tahoma"/>
                <w:sz w:val="18"/>
                <w:szCs w:val="18"/>
              </w:rPr>
              <w:t>RBY5</w:t>
            </w:r>
          </w:p>
        </w:tc>
        <w:tc>
          <w:tcPr>
            <w:tcW w:w="547" w:type="pct"/>
            <w:tcBorders>
              <w:top w:val="nil"/>
              <w:left w:val="nil"/>
              <w:bottom w:val="nil"/>
              <w:right w:val="nil"/>
            </w:tcBorders>
            <w:shd w:val="clear" w:color="auto" w:fill="auto"/>
            <w:vAlign w:val="center"/>
          </w:tcPr>
          <w:p w14:paraId="059F6D15" w14:textId="3EFFA837" w:rsidR="006A1E77" w:rsidRPr="00E049FF" w:rsidRDefault="006A1E77" w:rsidP="00E049FF">
            <w:pPr>
              <w:jc w:val="center"/>
              <w:rPr>
                <w:rFonts w:ascii="Arial Narrow" w:hAnsi="Arial Narrow" w:cs="Tahoma"/>
                <w:sz w:val="18"/>
                <w:szCs w:val="18"/>
              </w:rPr>
            </w:pPr>
            <w:r w:rsidRPr="00E049FF">
              <w:rPr>
                <w:rFonts w:ascii="Arial Narrow" w:hAnsi="Arial Narrow" w:cs="Tahoma"/>
                <w:sz w:val="18"/>
                <w:szCs w:val="18"/>
              </w:rPr>
              <w:t>0.11</w:t>
            </w:r>
          </w:p>
        </w:tc>
        <w:tc>
          <w:tcPr>
            <w:tcW w:w="625" w:type="pct"/>
            <w:tcBorders>
              <w:top w:val="nil"/>
              <w:left w:val="nil"/>
              <w:bottom w:val="nil"/>
              <w:right w:val="nil"/>
            </w:tcBorders>
            <w:shd w:val="clear" w:color="auto" w:fill="auto"/>
            <w:vAlign w:val="center"/>
          </w:tcPr>
          <w:p w14:paraId="502881B0" w14:textId="01EC578B" w:rsidR="006A1E77" w:rsidRPr="00E049FF" w:rsidRDefault="006A1E77" w:rsidP="00E049FF">
            <w:pPr>
              <w:jc w:val="center"/>
              <w:rPr>
                <w:rFonts w:ascii="Arial Narrow" w:hAnsi="Arial Narrow" w:cs="Tahoma"/>
                <w:sz w:val="18"/>
                <w:szCs w:val="18"/>
              </w:rPr>
            </w:pPr>
            <w:r w:rsidRPr="00E049FF">
              <w:rPr>
                <w:rFonts w:ascii="Arial Narrow" w:hAnsi="Arial Narrow" w:cs="Tahoma"/>
                <w:sz w:val="18"/>
                <w:szCs w:val="18"/>
              </w:rPr>
              <w:t>0.21</w:t>
            </w:r>
          </w:p>
        </w:tc>
        <w:tc>
          <w:tcPr>
            <w:tcW w:w="2810" w:type="pct"/>
            <w:gridSpan w:val="5"/>
            <w:vMerge w:val="restart"/>
            <w:tcBorders>
              <w:top w:val="nil"/>
              <w:left w:val="nil"/>
              <w:bottom w:val="nil"/>
              <w:right w:val="nil"/>
            </w:tcBorders>
            <w:shd w:val="clear" w:color="auto" w:fill="auto"/>
            <w:vAlign w:val="center"/>
          </w:tcPr>
          <w:p w14:paraId="0309C89F" w14:textId="60565383" w:rsidR="006A1E77" w:rsidRPr="00E049FF" w:rsidRDefault="006A1E77" w:rsidP="00E049FF">
            <w:pPr>
              <w:jc w:val="center"/>
              <w:rPr>
                <w:rFonts w:ascii="Arial Narrow" w:hAnsi="Arial Narrow" w:cs="Tahoma"/>
                <w:sz w:val="18"/>
                <w:szCs w:val="18"/>
              </w:rPr>
            </w:pPr>
            <w:r w:rsidRPr="00E049FF">
              <w:rPr>
                <w:rFonts w:ascii="Arial Narrow" w:hAnsi="Arial Narrow" w:cs="Tahoma"/>
                <w:sz w:val="18"/>
                <w:szCs w:val="18"/>
              </w:rPr>
              <w:t>Differential deemed value rates do not apply</w:t>
            </w:r>
          </w:p>
        </w:tc>
      </w:tr>
      <w:tr w:rsidR="006A1E77" w:rsidRPr="00E049FF" w14:paraId="3FC68D9A" w14:textId="77777777" w:rsidTr="00CE3C36">
        <w:trPr>
          <w:trHeight w:hRule="exact" w:val="255"/>
          <w:jc w:val="center"/>
        </w:trPr>
        <w:tc>
          <w:tcPr>
            <w:tcW w:w="471" w:type="pct"/>
            <w:vMerge/>
          </w:tcPr>
          <w:p w14:paraId="334755EA" w14:textId="77777777" w:rsidR="006A1E77" w:rsidRPr="00CE3C36" w:rsidRDefault="006A1E77" w:rsidP="00497FD8">
            <w:pPr>
              <w:rPr>
                <w:rFonts w:ascii="Arial Narrow" w:hAnsi="Arial Narrow" w:cs="Tahoma"/>
                <w:b/>
                <w:sz w:val="18"/>
                <w:szCs w:val="18"/>
              </w:rPr>
            </w:pPr>
          </w:p>
        </w:tc>
        <w:tc>
          <w:tcPr>
            <w:tcW w:w="547" w:type="pct"/>
            <w:tcBorders>
              <w:top w:val="nil"/>
              <w:bottom w:val="nil"/>
            </w:tcBorders>
            <w:vAlign w:val="center"/>
          </w:tcPr>
          <w:p w14:paraId="262CF3B8" w14:textId="45679EE3" w:rsidR="006A1E77" w:rsidRPr="00E049FF" w:rsidRDefault="006A1E77" w:rsidP="00E049FF">
            <w:pPr>
              <w:jc w:val="center"/>
              <w:rPr>
                <w:rFonts w:ascii="Arial Narrow" w:hAnsi="Arial Narrow" w:cs="Tahoma"/>
                <w:sz w:val="18"/>
                <w:szCs w:val="18"/>
              </w:rPr>
            </w:pPr>
            <w:r w:rsidRPr="00E049FF">
              <w:rPr>
                <w:rFonts w:ascii="Arial Narrow" w:hAnsi="Arial Narrow" w:cs="Tahoma"/>
                <w:sz w:val="18"/>
                <w:szCs w:val="18"/>
              </w:rPr>
              <w:t>RBY6</w:t>
            </w:r>
          </w:p>
        </w:tc>
        <w:tc>
          <w:tcPr>
            <w:tcW w:w="547" w:type="pct"/>
            <w:tcBorders>
              <w:top w:val="nil"/>
              <w:left w:val="nil"/>
              <w:bottom w:val="nil"/>
              <w:right w:val="nil"/>
            </w:tcBorders>
            <w:shd w:val="clear" w:color="auto" w:fill="auto"/>
            <w:vAlign w:val="center"/>
          </w:tcPr>
          <w:p w14:paraId="258EA539" w14:textId="70E51A1F" w:rsidR="006A1E77" w:rsidRPr="00E049FF" w:rsidRDefault="006A1E77" w:rsidP="00E049FF">
            <w:pPr>
              <w:jc w:val="center"/>
              <w:rPr>
                <w:rFonts w:ascii="Arial Narrow" w:hAnsi="Arial Narrow" w:cs="Tahoma"/>
                <w:sz w:val="18"/>
                <w:szCs w:val="18"/>
              </w:rPr>
            </w:pPr>
            <w:r w:rsidRPr="00E049FF">
              <w:rPr>
                <w:rFonts w:ascii="Arial Narrow" w:hAnsi="Arial Narrow" w:cs="Tahoma"/>
                <w:sz w:val="18"/>
                <w:szCs w:val="18"/>
              </w:rPr>
              <w:t>0.11</w:t>
            </w:r>
          </w:p>
        </w:tc>
        <w:tc>
          <w:tcPr>
            <w:tcW w:w="625" w:type="pct"/>
            <w:tcBorders>
              <w:top w:val="nil"/>
              <w:left w:val="nil"/>
              <w:bottom w:val="nil"/>
              <w:right w:val="nil"/>
            </w:tcBorders>
            <w:shd w:val="clear" w:color="auto" w:fill="auto"/>
            <w:vAlign w:val="center"/>
          </w:tcPr>
          <w:p w14:paraId="6C654B34" w14:textId="62E732B4" w:rsidR="006A1E77" w:rsidRPr="00E049FF" w:rsidRDefault="006A1E77" w:rsidP="00E049FF">
            <w:pPr>
              <w:jc w:val="center"/>
              <w:rPr>
                <w:rFonts w:ascii="Arial Narrow" w:hAnsi="Arial Narrow" w:cs="Tahoma"/>
                <w:sz w:val="18"/>
                <w:szCs w:val="18"/>
              </w:rPr>
            </w:pPr>
            <w:r w:rsidRPr="00E049FF">
              <w:rPr>
                <w:rFonts w:ascii="Arial Narrow" w:hAnsi="Arial Narrow" w:cs="Tahoma"/>
                <w:sz w:val="18"/>
                <w:szCs w:val="18"/>
              </w:rPr>
              <w:t>0.21</w:t>
            </w:r>
          </w:p>
        </w:tc>
        <w:tc>
          <w:tcPr>
            <w:tcW w:w="2810" w:type="pct"/>
            <w:gridSpan w:val="5"/>
            <w:vMerge/>
            <w:tcBorders>
              <w:top w:val="nil"/>
              <w:left w:val="nil"/>
              <w:bottom w:val="nil"/>
              <w:right w:val="nil"/>
            </w:tcBorders>
            <w:shd w:val="clear" w:color="auto" w:fill="auto"/>
            <w:vAlign w:val="center"/>
          </w:tcPr>
          <w:p w14:paraId="4C06E686" w14:textId="77777777" w:rsidR="006A1E77" w:rsidRPr="00E049FF" w:rsidRDefault="006A1E77" w:rsidP="00E049FF">
            <w:pPr>
              <w:jc w:val="center"/>
              <w:rPr>
                <w:rFonts w:ascii="Arial Narrow" w:hAnsi="Arial Narrow" w:cs="Tahoma"/>
                <w:sz w:val="18"/>
                <w:szCs w:val="18"/>
              </w:rPr>
            </w:pPr>
          </w:p>
        </w:tc>
      </w:tr>
      <w:tr w:rsidR="006A1E77" w:rsidRPr="00E049FF" w14:paraId="5F1C321C" w14:textId="77777777" w:rsidTr="00CE3C36">
        <w:trPr>
          <w:trHeight w:hRule="exact" w:val="255"/>
          <w:jc w:val="center"/>
        </w:trPr>
        <w:tc>
          <w:tcPr>
            <w:tcW w:w="471" w:type="pct"/>
            <w:vMerge/>
          </w:tcPr>
          <w:p w14:paraId="6D0BF86B" w14:textId="77777777" w:rsidR="006A1E77" w:rsidRPr="00CE3C36" w:rsidRDefault="006A1E77" w:rsidP="00497FD8">
            <w:pPr>
              <w:rPr>
                <w:rFonts w:ascii="Arial Narrow" w:hAnsi="Arial Narrow" w:cs="Tahoma"/>
                <w:b/>
                <w:sz w:val="18"/>
                <w:szCs w:val="18"/>
              </w:rPr>
            </w:pPr>
          </w:p>
        </w:tc>
        <w:tc>
          <w:tcPr>
            <w:tcW w:w="547" w:type="pct"/>
            <w:tcBorders>
              <w:top w:val="nil"/>
              <w:bottom w:val="nil"/>
            </w:tcBorders>
            <w:vAlign w:val="center"/>
          </w:tcPr>
          <w:p w14:paraId="7CD4ED3F" w14:textId="52B7B79E" w:rsidR="006A1E77" w:rsidRPr="00E049FF" w:rsidRDefault="006A1E77" w:rsidP="00E049FF">
            <w:pPr>
              <w:jc w:val="center"/>
              <w:rPr>
                <w:rFonts w:ascii="Arial Narrow" w:hAnsi="Arial Narrow" w:cs="Tahoma"/>
                <w:sz w:val="18"/>
                <w:szCs w:val="18"/>
              </w:rPr>
            </w:pPr>
            <w:r w:rsidRPr="00E049FF">
              <w:rPr>
                <w:rFonts w:ascii="Arial Narrow" w:hAnsi="Arial Narrow" w:cs="Tahoma"/>
                <w:sz w:val="18"/>
                <w:szCs w:val="18"/>
              </w:rPr>
              <w:t>RBY7</w:t>
            </w:r>
          </w:p>
        </w:tc>
        <w:tc>
          <w:tcPr>
            <w:tcW w:w="547" w:type="pct"/>
            <w:tcBorders>
              <w:top w:val="nil"/>
              <w:left w:val="nil"/>
              <w:bottom w:val="nil"/>
              <w:right w:val="nil"/>
            </w:tcBorders>
            <w:shd w:val="clear" w:color="auto" w:fill="auto"/>
            <w:vAlign w:val="center"/>
          </w:tcPr>
          <w:p w14:paraId="0F9E8E97" w14:textId="202816CB" w:rsidR="006A1E77" w:rsidRPr="00E049FF" w:rsidRDefault="006A1E77" w:rsidP="00E049FF">
            <w:pPr>
              <w:jc w:val="center"/>
              <w:rPr>
                <w:rFonts w:ascii="Arial Narrow" w:hAnsi="Arial Narrow" w:cs="Tahoma"/>
                <w:sz w:val="18"/>
                <w:szCs w:val="18"/>
              </w:rPr>
            </w:pPr>
            <w:r w:rsidRPr="00E049FF">
              <w:rPr>
                <w:rFonts w:ascii="Arial Narrow" w:hAnsi="Arial Narrow" w:cs="Tahoma"/>
                <w:sz w:val="18"/>
                <w:szCs w:val="18"/>
              </w:rPr>
              <w:t>0.378</w:t>
            </w:r>
          </w:p>
        </w:tc>
        <w:tc>
          <w:tcPr>
            <w:tcW w:w="625" w:type="pct"/>
            <w:tcBorders>
              <w:top w:val="nil"/>
              <w:left w:val="nil"/>
              <w:bottom w:val="nil"/>
              <w:right w:val="nil"/>
            </w:tcBorders>
            <w:shd w:val="clear" w:color="auto" w:fill="auto"/>
            <w:vAlign w:val="center"/>
          </w:tcPr>
          <w:p w14:paraId="50D0DE58" w14:textId="5A9120F9" w:rsidR="006A1E77" w:rsidRPr="00E049FF" w:rsidRDefault="006A1E77" w:rsidP="00E049FF">
            <w:pPr>
              <w:jc w:val="center"/>
              <w:rPr>
                <w:rFonts w:ascii="Arial Narrow" w:hAnsi="Arial Narrow" w:cs="Tahoma"/>
                <w:sz w:val="18"/>
                <w:szCs w:val="18"/>
              </w:rPr>
            </w:pPr>
            <w:r w:rsidRPr="00E049FF">
              <w:rPr>
                <w:rFonts w:ascii="Arial Narrow" w:hAnsi="Arial Narrow" w:cs="Tahoma"/>
                <w:sz w:val="18"/>
                <w:szCs w:val="18"/>
              </w:rPr>
              <w:t>0.42</w:t>
            </w:r>
          </w:p>
        </w:tc>
        <w:tc>
          <w:tcPr>
            <w:tcW w:w="2810" w:type="pct"/>
            <w:gridSpan w:val="5"/>
            <w:vMerge/>
            <w:tcBorders>
              <w:top w:val="nil"/>
              <w:left w:val="nil"/>
              <w:right w:val="nil"/>
            </w:tcBorders>
            <w:shd w:val="clear" w:color="auto" w:fill="auto"/>
            <w:vAlign w:val="center"/>
          </w:tcPr>
          <w:p w14:paraId="23FDEA8F" w14:textId="77777777" w:rsidR="006A1E77" w:rsidRPr="00E049FF" w:rsidRDefault="006A1E77" w:rsidP="00E049FF">
            <w:pPr>
              <w:jc w:val="center"/>
              <w:rPr>
                <w:rFonts w:ascii="Arial Narrow" w:hAnsi="Arial Narrow" w:cs="Tahoma"/>
                <w:sz w:val="18"/>
                <w:szCs w:val="18"/>
              </w:rPr>
            </w:pPr>
          </w:p>
        </w:tc>
      </w:tr>
      <w:tr w:rsidR="006A1E77" w:rsidRPr="00E049FF" w14:paraId="4936FA3B" w14:textId="77777777" w:rsidTr="00CE3C36">
        <w:trPr>
          <w:trHeight w:hRule="exact" w:val="255"/>
          <w:jc w:val="center"/>
        </w:trPr>
        <w:tc>
          <w:tcPr>
            <w:tcW w:w="471" w:type="pct"/>
            <w:vMerge/>
          </w:tcPr>
          <w:p w14:paraId="4064282B" w14:textId="77777777" w:rsidR="006A1E77" w:rsidRPr="00CE3C36" w:rsidRDefault="006A1E77" w:rsidP="00497FD8">
            <w:pPr>
              <w:rPr>
                <w:rFonts w:ascii="Arial Narrow" w:hAnsi="Arial Narrow" w:cs="Tahoma"/>
                <w:b/>
                <w:sz w:val="18"/>
                <w:szCs w:val="18"/>
              </w:rPr>
            </w:pPr>
          </w:p>
        </w:tc>
        <w:tc>
          <w:tcPr>
            <w:tcW w:w="547" w:type="pct"/>
            <w:tcBorders>
              <w:top w:val="nil"/>
              <w:bottom w:val="nil"/>
            </w:tcBorders>
            <w:vAlign w:val="center"/>
          </w:tcPr>
          <w:p w14:paraId="1F5C22BF" w14:textId="7F4620C5" w:rsidR="006A1E77" w:rsidRPr="00E049FF" w:rsidRDefault="006A1E77" w:rsidP="00E049FF">
            <w:pPr>
              <w:jc w:val="center"/>
              <w:rPr>
                <w:rFonts w:ascii="Arial Narrow" w:hAnsi="Arial Narrow" w:cs="Tahoma"/>
                <w:sz w:val="18"/>
                <w:szCs w:val="18"/>
              </w:rPr>
            </w:pPr>
            <w:r w:rsidRPr="00E049FF">
              <w:rPr>
                <w:rFonts w:ascii="Arial Narrow" w:hAnsi="Arial Narrow" w:cs="Tahoma"/>
                <w:sz w:val="18"/>
                <w:szCs w:val="18"/>
              </w:rPr>
              <w:t>RBY8</w:t>
            </w:r>
          </w:p>
        </w:tc>
        <w:tc>
          <w:tcPr>
            <w:tcW w:w="547" w:type="pct"/>
            <w:tcBorders>
              <w:top w:val="nil"/>
              <w:left w:val="nil"/>
              <w:bottom w:val="nil"/>
              <w:right w:val="nil"/>
            </w:tcBorders>
            <w:shd w:val="clear" w:color="auto" w:fill="auto"/>
            <w:vAlign w:val="center"/>
          </w:tcPr>
          <w:p w14:paraId="2CADBBC6" w14:textId="3CFF2337" w:rsidR="006A1E77" w:rsidRPr="00E049FF" w:rsidRDefault="006A1E77" w:rsidP="00E049FF">
            <w:pPr>
              <w:jc w:val="center"/>
              <w:rPr>
                <w:rFonts w:ascii="Arial Narrow" w:hAnsi="Arial Narrow" w:cs="Tahoma"/>
                <w:sz w:val="18"/>
                <w:szCs w:val="18"/>
              </w:rPr>
            </w:pPr>
            <w:r w:rsidRPr="00E049FF">
              <w:rPr>
                <w:rFonts w:ascii="Arial Narrow" w:hAnsi="Arial Narrow" w:cs="Tahoma"/>
                <w:sz w:val="18"/>
                <w:szCs w:val="18"/>
              </w:rPr>
              <w:t>0.21</w:t>
            </w:r>
          </w:p>
        </w:tc>
        <w:tc>
          <w:tcPr>
            <w:tcW w:w="625" w:type="pct"/>
            <w:tcBorders>
              <w:top w:val="nil"/>
              <w:left w:val="nil"/>
              <w:bottom w:val="nil"/>
              <w:right w:val="nil"/>
            </w:tcBorders>
            <w:shd w:val="clear" w:color="auto" w:fill="auto"/>
            <w:vAlign w:val="center"/>
          </w:tcPr>
          <w:p w14:paraId="20097239" w14:textId="0CAACB6C" w:rsidR="006A1E77" w:rsidRPr="00E049FF" w:rsidRDefault="006A1E77" w:rsidP="00E049FF">
            <w:pPr>
              <w:jc w:val="center"/>
              <w:rPr>
                <w:rFonts w:ascii="Arial Narrow" w:hAnsi="Arial Narrow" w:cs="Tahoma"/>
                <w:sz w:val="18"/>
                <w:szCs w:val="18"/>
              </w:rPr>
            </w:pPr>
            <w:r w:rsidRPr="00E049FF">
              <w:rPr>
                <w:rFonts w:ascii="Arial Narrow" w:hAnsi="Arial Narrow" w:cs="Tahoma"/>
                <w:sz w:val="18"/>
                <w:szCs w:val="18"/>
              </w:rPr>
              <w:t>0.42</w:t>
            </w:r>
          </w:p>
        </w:tc>
        <w:tc>
          <w:tcPr>
            <w:tcW w:w="2810" w:type="pct"/>
            <w:gridSpan w:val="5"/>
            <w:vMerge/>
            <w:tcBorders>
              <w:left w:val="nil"/>
              <w:right w:val="nil"/>
            </w:tcBorders>
            <w:shd w:val="clear" w:color="auto" w:fill="auto"/>
            <w:vAlign w:val="center"/>
          </w:tcPr>
          <w:p w14:paraId="3D2ED891" w14:textId="77777777" w:rsidR="006A1E77" w:rsidRPr="00E049FF" w:rsidRDefault="006A1E77" w:rsidP="00E049FF">
            <w:pPr>
              <w:jc w:val="center"/>
              <w:rPr>
                <w:rFonts w:ascii="Arial Narrow" w:hAnsi="Arial Narrow" w:cs="Tahoma"/>
                <w:sz w:val="18"/>
                <w:szCs w:val="18"/>
              </w:rPr>
            </w:pPr>
          </w:p>
        </w:tc>
      </w:tr>
      <w:tr w:rsidR="006A1E77" w:rsidRPr="00E049FF" w14:paraId="4EDA8C83" w14:textId="77777777" w:rsidTr="00CE3C36">
        <w:trPr>
          <w:trHeight w:hRule="exact" w:val="255"/>
          <w:jc w:val="center"/>
        </w:trPr>
        <w:tc>
          <w:tcPr>
            <w:tcW w:w="471" w:type="pct"/>
            <w:vMerge/>
            <w:tcBorders>
              <w:bottom w:val="single" w:sz="4" w:space="0" w:color="auto"/>
            </w:tcBorders>
          </w:tcPr>
          <w:p w14:paraId="2423C1EC" w14:textId="77777777" w:rsidR="006A1E77" w:rsidRPr="00CE3C36" w:rsidRDefault="006A1E77" w:rsidP="00497FD8">
            <w:pPr>
              <w:rPr>
                <w:rFonts w:ascii="Arial Narrow" w:hAnsi="Arial Narrow" w:cs="Tahoma"/>
                <w:b/>
                <w:sz w:val="18"/>
                <w:szCs w:val="18"/>
              </w:rPr>
            </w:pPr>
          </w:p>
        </w:tc>
        <w:tc>
          <w:tcPr>
            <w:tcW w:w="547" w:type="pct"/>
            <w:tcBorders>
              <w:top w:val="nil"/>
              <w:bottom w:val="single" w:sz="4" w:space="0" w:color="auto"/>
            </w:tcBorders>
            <w:vAlign w:val="center"/>
          </w:tcPr>
          <w:p w14:paraId="28E52834" w14:textId="5D65C42C" w:rsidR="006A1E77" w:rsidRPr="00E049FF" w:rsidRDefault="006A1E77" w:rsidP="00E049FF">
            <w:pPr>
              <w:jc w:val="center"/>
              <w:rPr>
                <w:rFonts w:ascii="Arial Narrow" w:hAnsi="Arial Narrow" w:cs="Tahoma"/>
                <w:sz w:val="18"/>
                <w:szCs w:val="18"/>
              </w:rPr>
            </w:pPr>
            <w:r w:rsidRPr="00E049FF">
              <w:rPr>
                <w:rFonts w:ascii="Arial Narrow" w:hAnsi="Arial Narrow" w:cs="Tahoma"/>
                <w:sz w:val="18"/>
                <w:szCs w:val="18"/>
              </w:rPr>
              <w:t>RBY9</w:t>
            </w:r>
          </w:p>
        </w:tc>
        <w:tc>
          <w:tcPr>
            <w:tcW w:w="547" w:type="pct"/>
            <w:tcBorders>
              <w:top w:val="nil"/>
              <w:left w:val="nil"/>
              <w:bottom w:val="single" w:sz="4" w:space="0" w:color="auto"/>
              <w:right w:val="nil"/>
            </w:tcBorders>
            <w:shd w:val="clear" w:color="auto" w:fill="auto"/>
            <w:vAlign w:val="center"/>
          </w:tcPr>
          <w:p w14:paraId="7A44242F" w14:textId="22F6DB09" w:rsidR="006A1E77" w:rsidRPr="00E049FF" w:rsidRDefault="006A1E77" w:rsidP="00E049FF">
            <w:pPr>
              <w:jc w:val="center"/>
              <w:rPr>
                <w:rFonts w:ascii="Arial Narrow" w:hAnsi="Arial Narrow" w:cs="Tahoma"/>
                <w:sz w:val="18"/>
                <w:szCs w:val="18"/>
              </w:rPr>
            </w:pPr>
            <w:r w:rsidRPr="00E049FF">
              <w:rPr>
                <w:rFonts w:ascii="Arial Narrow" w:hAnsi="Arial Narrow" w:cs="Tahoma"/>
                <w:sz w:val="18"/>
                <w:szCs w:val="18"/>
              </w:rPr>
              <w:t>0.11</w:t>
            </w:r>
          </w:p>
        </w:tc>
        <w:tc>
          <w:tcPr>
            <w:tcW w:w="625" w:type="pct"/>
            <w:tcBorders>
              <w:top w:val="nil"/>
              <w:left w:val="nil"/>
              <w:bottom w:val="single" w:sz="4" w:space="0" w:color="auto"/>
              <w:right w:val="nil"/>
            </w:tcBorders>
            <w:shd w:val="clear" w:color="auto" w:fill="auto"/>
            <w:vAlign w:val="center"/>
          </w:tcPr>
          <w:p w14:paraId="232D225A" w14:textId="0F4AB558" w:rsidR="006A1E77" w:rsidRPr="00E049FF" w:rsidRDefault="006A1E77" w:rsidP="00E049FF">
            <w:pPr>
              <w:jc w:val="center"/>
              <w:rPr>
                <w:rFonts w:ascii="Arial Narrow" w:hAnsi="Arial Narrow" w:cs="Tahoma"/>
                <w:sz w:val="18"/>
                <w:szCs w:val="18"/>
              </w:rPr>
            </w:pPr>
            <w:r w:rsidRPr="00E049FF">
              <w:rPr>
                <w:rFonts w:ascii="Arial Narrow" w:hAnsi="Arial Narrow" w:cs="Tahoma"/>
                <w:sz w:val="18"/>
                <w:szCs w:val="18"/>
              </w:rPr>
              <w:t>0.21</w:t>
            </w:r>
          </w:p>
        </w:tc>
        <w:tc>
          <w:tcPr>
            <w:tcW w:w="2810" w:type="pct"/>
            <w:gridSpan w:val="5"/>
            <w:vMerge/>
            <w:tcBorders>
              <w:left w:val="nil"/>
              <w:bottom w:val="single" w:sz="4" w:space="0" w:color="auto"/>
              <w:right w:val="nil"/>
            </w:tcBorders>
            <w:shd w:val="clear" w:color="auto" w:fill="auto"/>
            <w:vAlign w:val="center"/>
          </w:tcPr>
          <w:p w14:paraId="72BCC4E5" w14:textId="7C5665FF" w:rsidR="006A1E77" w:rsidRPr="00E049FF" w:rsidRDefault="006A1E77" w:rsidP="00E049FF">
            <w:pPr>
              <w:jc w:val="center"/>
              <w:rPr>
                <w:rFonts w:ascii="Arial Narrow" w:hAnsi="Arial Narrow" w:cs="Tahoma"/>
                <w:sz w:val="18"/>
                <w:szCs w:val="18"/>
              </w:rPr>
            </w:pPr>
          </w:p>
        </w:tc>
      </w:tr>
      <w:tr w:rsidR="00193F36" w:rsidRPr="00E049FF" w14:paraId="6765F5C0" w14:textId="77777777" w:rsidTr="00CE3C36">
        <w:trPr>
          <w:cantSplit/>
          <w:trHeight w:val="1000"/>
          <w:jc w:val="center"/>
        </w:trPr>
        <w:tc>
          <w:tcPr>
            <w:tcW w:w="471" w:type="pct"/>
            <w:tcBorders>
              <w:top w:val="single" w:sz="4" w:space="0" w:color="auto"/>
              <w:bottom w:val="single" w:sz="4" w:space="0" w:color="auto"/>
            </w:tcBorders>
            <w:textDirection w:val="btLr"/>
            <w:vAlign w:val="center"/>
          </w:tcPr>
          <w:p w14:paraId="400E23C6" w14:textId="503D4F50" w:rsidR="00193F36" w:rsidRPr="00CE3C36" w:rsidRDefault="00193F36" w:rsidP="00193F36">
            <w:pPr>
              <w:ind w:left="113" w:right="113"/>
              <w:jc w:val="center"/>
              <w:rPr>
                <w:rFonts w:ascii="Arial Narrow" w:hAnsi="Arial Narrow" w:cs="Tahoma"/>
                <w:b/>
                <w:sz w:val="18"/>
                <w:szCs w:val="18"/>
              </w:rPr>
            </w:pPr>
            <w:r w:rsidRPr="00CE3C36">
              <w:rPr>
                <w:rFonts w:ascii="Arial Narrow" w:hAnsi="Arial Narrow" w:cs="Tahoma"/>
                <w:b/>
                <w:sz w:val="18"/>
                <w:szCs w:val="18"/>
              </w:rPr>
              <w:t>Proposed</w:t>
            </w:r>
          </w:p>
        </w:tc>
        <w:tc>
          <w:tcPr>
            <w:tcW w:w="547" w:type="pct"/>
            <w:tcBorders>
              <w:top w:val="single" w:sz="4" w:space="0" w:color="auto"/>
              <w:bottom w:val="single" w:sz="4" w:space="0" w:color="auto"/>
            </w:tcBorders>
            <w:vAlign w:val="center"/>
          </w:tcPr>
          <w:p w14:paraId="797F32E0" w14:textId="4D91C3E1" w:rsidR="00193F36" w:rsidRPr="00E049FF" w:rsidRDefault="00193F36" w:rsidP="00193F36">
            <w:pPr>
              <w:jc w:val="center"/>
              <w:rPr>
                <w:rFonts w:ascii="Arial Narrow" w:hAnsi="Arial Narrow" w:cs="Tahoma"/>
                <w:sz w:val="18"/>
                <w:szCs w:val="18"/>
              </w:rPr>
            </w:pPr>
            <w:r w:rsidRPr="00E049FF">
              <w:rPr>
                <w:rFonts w:ascii="Arial Narrow" w:hAnsi="Arial Narrow" w:cs="Tahoma"/>
                <w:sz w:val="18"/>
                <w:szCs w:val="18"/>
              </w:rPr>
              <w:t>All stocks</w:t>
            </w:r>
          </w:p>
        </w:tc>
        <w:tc>
          <w:tcPr>
            <w:tcW w:w="547" w:type="pct"/>
            <w:tcBorders>
              <w:top w:val="single" w:sz="4" w:space="0" w:color="auto"/>
              <w:left w:val="nil"/>
              <w:bottom w:val="single" w:sz="4" w:space="0" w:color="auto"/>
              <w:right w:val="nil"/>
            </w:tcBorders>
            <w:shd w:val="clear" w:color="auto" w:fill="auto"/>
            <w:vAlign w:val="center"/>
          </w:tcPr>
          <w:p w14:paraId="1FCFB450" w14:textId="1AA4F105" w:rsidR="00193F36" w:rsidRPr="00E049FF" w:rsidRDefault="00193F36" w:rsidP="00193F36">
            <w:pPr>
              <w:jc w:val="center"/>
              <w:rPr>
                <w:rFonts w:ascii="Arial Narrow" w:hAnsi="Arial Narrow" w:cs="Tahoma"/>
                <w:sz w:val="18"/>
                <w:szCs w:val="18"/>
              </w:rPr>
            </w:pPr>
            <w:r>
              <w:rPr>
                <w:rFonts w:ascii="Arial Narrow" w:hAnsi="Arial Narrow" w:cs="Tahoma"/>
                <w:sz w:val="18"/>
                <w:szCs w:val="18"/>
              </w:rPr>
              <w:t>0.25</w:t>
            </w:r>
          </w:p>
        </w:tc>
        <w:tc>
          <w:tcPr>
            <w:tcW w:w="625" w:type="pct"/>
            <w:tcBorders>
              <w:top w:val="single" w:sz="4" w:space="0" w:color="auto"/>
              <w:left w:val="nil"/>
              <w:bottom w:val="single" w:sz="4" w:space="0" w:color="auto"/>
              <w:right w:val="nil"/>
            </w:tcBorders>
            <w:shd w:val="clear" w:color="auto" w:fill="auto"/>
            <w:vAlign w:val="center"/>
          </w:tcPr>
          <w:p w14:paraId="7E451B21" w14:textId="057DD707" w:rsidR="00193F36" w:rsidRPr="00E049FF" w:rsidRDefault="00193F36" w:rsidP="00193F36">
            <w:pPr>
              <w:jc w:val="center"/>
              <w:rPr>
                <w:rFonts w:ascii="Arial Narrow" w:hAnsi="Arial Narrow" w:cs="Tahoma"/>
                <w:sz w:val="18"/>
                <w:szCs w:val="18"/>
              </w:rPr>
            </w:pPr>
            <w:r>
              <w:rPr>
                <w:rFonts w:ascii="Arial Narrow" w:hAnsi="Arial Narrow" w:cs="Tahoma"/>
                <w:sz w:val="18"/>
                <w:szCs w:val="18"/>
              </w:rPr>
              <w:t>0.28</w:t>
            </w:r>
          </w:p>
        </w:tc>
        <w:tc>
          <w:tcPr>
            <w:tcW w:w="607" w:type="pct"/>
            <w:tcBorders>
              <w:top w:val="single" w:sz="4" w:space="0" w:color="auto"/>
              <w:left w:val="nil"/>
              <w:bottom w:val="single" w:sz="4" w:space="0" w:color="auto"/>
              <w:right w:val="nil"/>
            </w:tcBorders>
            <w:shd w:val="clear" w:color="auto" w:fill="auto"/>
            <w:vAlign w:val="center"/>
          </w:tcPr>
          <w:p w14:paraId="5F92CB55" w14:textId="6200484D" w:rsidR="00193F36" w:rsidRPr="00E049FF" w:rsidRDefault="00193F36" w:rsidP="00193F36">
            <w:pPr>
              <w:jc w:val="center"/>
              <w:rPr>
                <w:rFonts w:ascii="Arial Narrow" w:hAnsi="Arial Narrow" w:cs="Tahoma"/>
                <w:sz w:val="18"/>
                <w:szCs w:val="18"/>
              </w:rPr>
            </w:pPr>
            <w:r w:rsidRPr="00E049FF">
              <w:rPr>
                <w:rFonts w:ascii="Arial Narrow" w:hAnsi="Arial Narrow" w:cs="Tahoma"/>
                <w:sz w:val="18"/>
                <w:szCs w:val="18"/>
              </w:rPr>
              <w:t>0.336</w:t>
            </w:r>
          </w:p>
        </w:tc>
        <w:tc>
          <w:tcPr>
            <w:tcW w:w="552" w:type="pct"/>
            <w:tcBorders>
              <w:top w:val="single" w:sz="4" w:space="0" w:color="auto"/>
              <w:left w:val="nil"/>
              <w:bottom w:val="single" w:sz="4" w:space="0" w:color="auto"/>
              <w:right w:val="nil"/>
            </w:tcBorders>
            <w:shd w:val="clear" w:color="auto" w:fill="auto"/>
            <w:vAlign w:val="center"/>
          </w:tcPr>
          <w:p w14:paraId="1D8F72DE" w14:textId="3FE29CE5" w:rsidR="00193F36" w:rsidRPr="00E049FF" w:rsidRDefault="00193F36" w:rsidP="00193F36">
            <w:pPr>
              <w:jc w:val="center"/>
              <w:rPr>
                <w:rFonts w:ascii="Arial Narrow" w:hAnsi="Arial Narrow" w:cs="Tahoma"/>
                <w:sz w:val="18"/>
                <w:szCs w:val="18"/>
              </w:rPr>
            </w:pPr>
            <w:r w:rsidRPr="00E049FF">
              <w:rPr>
                <w:rFonts w:ascii="Arial Narrow" w:hAnsi="Arial Narrow" w:cs="Tahoma"/>
                <w:sz w:val="18"/>
                <w:szCs w:val="18"/>
              </w:rPr>
              <w:t>0.392</w:t>
            </w:r>
          </w:p>
        </w:tc>
        <w:tc>
          <w:tcPr>
            <w:tcW w:w="552" w:type="pct"/>
            <w:tcBorders>
              <w:top w:val="single" w:sz="4" w:space="0" w:color="auto"/>
              <w:left w:val="nil"/>
              <w:bottom w:val="single" w:sz="4" w:space="0" w:color="auto"/>
              <w:right w:val="nil"/>
            </w:tcBorders>
            <w:shd w:val="clear" w:color="auto" w:fill="auto"/>
            <w:vAlign w:val="center"/>
          </w:tcPr>
          <w:p w14:paraId="23367336" w14:textId="73A9DEBF" w:rsidR="00193F36" w:rsidRPr="00E049FF" w:rsidRDefault="00193F36" w:rsidP="00193F36">
            <w:pPr>
              <w:jc w:val="center"/>
              <w:rPr>
                <w:rFonts w:ascii="Arial Narrow" w:hAnsi="Arial Narrow" w:cs="Tahoma"/>
                <w:sz w:val="18"/>
                <w:szCs w:val="18"/>
              </w:rPr>
            </w:pPr>
            <w:r w:rsidRPr="00E049FF">
              <w:rPr>
                <w:rFonts w:ascii="Arial Narrow" w:hAnsi="Arial Narrow" w:cs="Tahoma"/>
                <w:sz w:val="18"/>
                <w:szCs w:val="18"/>
              </w:rPr>
              <w:t>0.448</w:t>
            </w:r>
          </w:p>
        </w:tc>
        <w:tc>
          <w:tcPr>
            <w:tcW w:w="552" w:type="pct"/>
            <w:tcBorders>
              <w:top w:val="single" w:sz="4" w:space="0" w:color="auto"/>
              <w:left w:val="nil"/>
              <w:bottom w:val="single" w:sz="4" w:space="0" w:color="auto"/>
              <w:right w:val="nil"/>
            </w:tcBorders>
            <w:shd w:val="clear" w:color="auto" w:fill="auto"/>
            <w:vAlign w:val="center"/>
          </w:tcPr>
          <w:p w14:paraId="7AEE99CF" w14:textId="56D33242" w:rsidR="00193F36" w:rsidRPr="00E049FF" w:rsidRDefault="00193F36" w:rsidP="00193F36">
            <w:pPr>
              <w:jc w:val="center"/>
              <w:rPr>
                <w:rFonts w:ascii="Arial Narrow" w:hAnsi="Arial Narrow" w:cs="Tahoma"/>
                <w:sz w:val="18"/>
                <w:szCs w:val="18"/>
              </w:rPr>
            </w:pPr>
            <w:r w:rsidRPr="00E049FF">
              <w:rPr>
                <w:rFonts w:ascii="Arial Narrow" w:hAnsi="Arial Narrow" w:cs="Tahoma"/>
                <w:sz w:val="18"/>
                <w:szCs w:val="18"/>
              </w:rPr>
              <w:t>0.504</w:t>
            </w:r>
          </w:p>
        </w:tc>
        <w:tc>
          <w:tcPr>
            <w:tcW w:w="548" w:type="pct"/>
            <w:tcBorders>
              <w:top w:val="single" w:sz="4" w:space="0" w:color="auto"/>
              <w:left w:val="nil"/>
              <w:bottom w:val="single" w:sz="4" w:space="0" w:color="auto"/>
              <w:right w:val="nil"/>
            </w:tcBorders>
            <w:shd w:val="clear" w:color="auto" w:fill="auto"/>
            <w:vAlign w:val="center"/>
          </w:tcPr>
          <w:p w14:paraId="3C2EB86D" w14:textId="7F3BE4F7" w:rsidR="00193F36" w:rsidRPr="00E049FF" w:rsidRDefault="00193F36" w:rsidP="00193F36">
            <w:pPr>
              <w:jc w:val="center"/>
              <w:rPr>
                <w:rFonts w:ascii="Arial Narrow" w:hAnsi="Arial Narrow" w:cs="Tahoma"/>
                <w:sz w:val="18"/>
                <w:szCs w:val="18"/>
              </w:rPr>
            </w:pPr>
            <w:r w:rsidRPr="00E049FF">
              <w:rPr>
                <w:rFonts w:ascii="Arial Narrow" w:hAnsi="Arial Narrow" w:cs="Tahoma"/>
                <w:sz w:val="18"/>
                <w:szCs w:val="18"/>
              </w:rPr>
              <w:t>0.56</w:t>
            </w:r>
          </w:p>
        </w:tc>
      </w:tr>
    </w:tbl>
    <w:p w14:paraId="0878DF9B" w14:textId="77777777" w:rsidR="000940F8" w:rsidRDefault="000940F8" w:rsidP="00EF1C8E"/>
    <w:p w14:paraId="6254A905" w14:textId="25B658E5" w:rsidR="00EF1C8E" w:rsidRDefault="005A2B3B" w:rsidP="00EF1C8E">
      <w:r>
        <w:t>Table 4</w:t>
      </w:r>
      <w:r w:rsidR="008B4A3D">
        <w:t xml:space="preserve"> indicates there is considerable inconsistency between the deemed value rates for rubyfish stocks. </w:t>
      </w:r>
      <w:r w:rsidR="00C627FD">
        <w:t>The 2</w:t>
      </w:r>
      <w:r w:rsidR="001B6740">
        <w:t xml:space="preserve">016/17 </w:t>
      </w:r>
      <w:r w:rsidR="00C627FD">
        <w:t>port prices for</w:t>
      </w:r>
      <w:r w:rsidR="00EF1C8E">
        <w:t xml:space="preserve"> </w:t>
      </w:r>
      <w:r w:rsidR="00DD4870">
        <w:t xml:space="preserve">rubyfish stocks </w:t>
      </w:r>
      <w:r w:rsidR="00C627FD">
        <w:t xml:space="preserve">are summarised in section 6 above </w:t>
      </w:r>
      <w:r>
        <w:t>while</w:t>
      </w:r>
      <w:r w:rsidR="00C627FD">
        <w:t xml:space="preserve"> the lack of e</w:t>
      </w:r>
      <w:r w:rsidR="008B4A3D">
        <w:t>xport value information</w:t>
      </w:r>
      <w:r>
        <w:t xml:space="preserve"> is also noted in that section</w:t>
      </w:r>
      <w:r w:rsidR="00C627FD">
        <w:t>.</w:t>
      </w:r>
    </w:p>
    <w:p w14:paraId="30BAA9D6" w14:textId="77777777" w:rsidR="00475381" w:rsidRDefault="00475381" w:rsidP="00EF1C8E"/>
    <w:p w14:paraId="08468444" w14:textId="10D1F49B" w:rsidR="001D6E7E" w:rsidRDefault="00FE05DD" w:rsidP="00EF1C8E">
      <w:r>
        <w:t xml:space="preserve">For </w:t>
      </w:r>
      <w:r w:rsidR="00C71FB1">
        <w:t>RBY 3</w:t>
      </w:r>
      <w:r>
        <w:t xml:space="preserve"> there is limited ACE trading data and in most years there is insufficient data to generate an average annual trade price. </w:t>
      </w:r>
      <w:r w:rsidR="006403FA">
        <w:t xml:space="preserve">Average </w:t>
      </w:r>
      <w:r w:rsidR="001D6E7E">
        <w:t xml:space="preserve">annual </w:t>
      </w:r>
      <w:r w:rsidR="00475381">
        <w:t xml:space="preserve">ACE </w:t>
      </w:r>
      <w:r w:rsidR="006403FA">
        <w:t xml:space="preserve">trade </w:t>
      </w:r>
      <w:r w:rsidR="00475381">
        <w:t xml:space="preserve">price </w:t>
      </w:r>
      <w:r w:rsidR="006403FA">
        <w:t xml:space="preserve">for </w:t>
      </w:r>
      <w:r w:rsidR="00C71FB1">
        <w:t>RBY 4</w:t>
      </w:r>
      <w:r w:rsidR="006403FA">
        <w:t xml:space="preserve"> </w:t>
      </w:r>
      <w:r w:rsidR="001D6E7E">
        <w:t>has been between $0.20 and $0.3</w:t>
      </w:r>
      <w:r>
        <w:t>0/kg for the last 10 years while the figure is between $0.10 and $0.12/kg for RBY</w:t>
      </w:r>
      <w:r w:rsidR="00121818">
        <w:t xml:space="preserve"> </w:t>
      </w:r>
      <w:r>
        <w:t>7.</w:t>
      </w:r>
    </w:p>
    <w:p w14:paraId="12208BC5" w14:textId="144CCDEB" w:rsidR="00475381" w:rsidRDefault="006403FA" w:rsidP="00EF1C8E">
      <w:r>
        <w:t xml:space="preserve"> </w:t>
      </w:r>
    </w:p>
    <w:p w14:paraId="1D72D3F2" w14:textId="2D8A0BD6" w:rsidR="00475381" w:rsidRDefault="006A1E77" w:rsidP="00EF1C8E">
      <w:r>
        <w:t>MPI proposes to standardise deemed rates for all rubyfish stocks using the existing RBY</w:t>
      </w:r>
      <w:r w:rsidR="00121818">
        <w:t xml:space="preserve"> </w:t>
      </w:r>
      <w:r w:rsidR="00193F36">
        <w:t>1</w:t>
      </w:r>
      <w:r>
        <w:t xml:space="preserve"> deemed value rates as the basis. </w:t>
      </w:r>
      <w:r w:rsidR="00A25E9E">
        <w:t>In accordance with t</w:t>
      </w:r>
      <w:r w:rsidR="001B6740">
        <w:t>he Deemed Value Guidelines</w:t>
      </w:r>
      <w:r w:rsidR="001B6740">
        <w:rPr>
          <w:rStyle w:val="FootnoteReference"/>
        </w:rPr>
        <w:footnoteReference w:id="1"/>
      </w:r>
      <w:r w:rsidR="00A25E9E">
        <w:t xml:space="preserve">, the interim deemed value rate would be set at 90% of the 100-120% annual rate </w:t>
      </w:r>
      <w:r w:rsidR="0083069D">
        <w:t>(</w:t>
      </w:r>
      <w:r w:rsidR="00A25E9E" w:rsidRPr="0083069D">
        <w:rPr>
          <w:i/>
        </w:rPr>
        <w:t>i.e.</w:t>
      </w:r>
      <w:r w:rsidR="0083069D" w:rsidRPr="0083069D">
        <w:rPr>
          <w:i/>
        </w:rPr>
        <w:t>,</w:t>
      </w:r>
      <w:r w:rsidR="00A25E9E">
        <w:t xml:space="preserve"> increased from $0.</w:t>
      </w:r>
      <w:r w:rsidR="00193F36">
        <w:t>14</w:t>
      </w:r>
      <w:r w:rsidR="00A25E9E">
        <w:t xml:space="preserve">/kg to </w:t>
      </w:r>
      <w:r>
        <w:t>$0.</w:t>
      </w:r>
      <w:r w:rsidR="00193F36">
        <w:t>25</w:t>
      </w:r>
      <w:r>
        <w:t>/kg</w:t>
      </w:r>
      <w:r w:rsidR="0083069D">
        <w:t>)</w:t>
      </w:r>
      <w:r w:rsidR="00A25E9E">
        <w:t>.</w:t>
      </w:r>
      <w:r>
        <w:t xml:space="preserve"> All stocks would also have the same 100-120% annual deemed value rate and differential deemed value rate would also apply to all stocks at the same rates that currently apply to RBY</w:t>
      </w:r>
      <w:r w:rsidR="00121818">
        <w:t xml:space="preserve"> </w:t>
      </w:r>
      <w:r w:rsidR="00193F36">
        <w:t>1</w:t>
      </w:r>
      <w:r>
        <w:t xml:space="preserve">. MPI considers this approach is consistent with the </w:t>
      </w:r>
      <w:r w:rsidR="00C627FD">
        <w:t>Deemed Value Guidelines.</w:t>
      </w:r>
    </w:p>
    <w:p w14:paraId="581CE7DF" w14:textId="77777777" w:rsidR="00F0072C" w:rsidRPr="00EF1C8E" w:rsidRDefault="00F0072C" w:rsidP="00EF1C8E"/>
    <w:p w14:paraId="64E51F9F" w14:textId="77777777" w:rsidR="00471C3D" w:rsidRDefault="00471C3D" w:rsidP="00471C3D">
      <w:pPr>
        <w:pStyle w:val="Heading1"/>
      </w:pPr>
      <w:bookmarkStart w:id="48" w:name="_Toc399138996"/>
      <w:bookmarkStart w:id="49" w:name="_Toc453052977"/>
      <w:r>
        <w:t>Conclusion</w:t>
      </w:r>
      <w:bookmarkEnd w:id="48"/>
      <w:bookmarkEnd w:id="49"/>
      <w:r w:rsidR="00343D62">
        <w:t xml:space="preserve"> </w:t>
      </w:r>
    </w:p>
    <w:p w14:paraId="3FC04596" w14:textId="52264C0C" w:rsidR="00492727" w:rsidRDefault="00492727" w:rsidP="000923CD">
      <w:r w:rsidRPr="00BF7860">
        <w:t xml:space="preserve">MPI is seeking information and views from tangata whenua and stakeholders to support the development of final advice to the Minister </w:t>
      </w:r>
      <w:r>
        <w:t>on management settings for RBY 3</w:t>
      </w:r>
      <w:r w:rsidRPr="00BF7860">
        <w:t xml:space="preserve"> for the fishing year commencing 1 </w:t>
      </w:r>
      <w:r>
        <w:t>October</w:t>
      </w:r>
      <w:r w:rsidRPr="00BF7860">
        <w:t xml:space="preserve"> 2016</w:t>
      </w:r>
      <w:r>
        <w:t>.</w:t>
      </w:r>
    </w:p>
    <w:p w14:paraId="3073C961" w14:textId="77777777" w:rsidR="00492727" w:rsidRDefault="00492727" w:rsidP="000923CD"/>
    <w:p w14:paraId="13A5C799" w14:textId="4E3A5FA3" w:rsidR="000923CD" w:rsidRDefault="000923CD" w:rsidP="000923CD">
      <w:r>
        <w:t xml:space="preserve">All rubyfish stocks were introduced into the QMS in 1998 with catch limits based on average catch reported in the years prior to QMS introduction. The TAC for RBY 3 has not been reviewed since being introduced. </w:t>
      </w:r>
    </w:p>
    <w:p w14:paraId="69AFADA7" w14:textId="77777777" w:rsidR="000923CD" w:rsidRDefault="000923CD" w:rsidP="00471C3D"/>
    <w:p w14:paraId="306C9EB4" w14:textId="4EDDB818" w:rsidR="00F32AB0" w:rsidRDefault="00F32AB0" w:rsidP="00471C3D">
      <w:r>
        <w:t>Rubyfish is a species that is more commonly found around the North Island</w:t>
      </w:r>
      <w:r w:rsidR="0082446C">
        <w:t>. T</w:t>
      </w:r>
      <w:r w:rsidR="00337294">
        <w:t xml:space="preserve">he </w:t>
      </w:r>
      <w:r w:rsidR="00CE3C36">
        <w:t>west coast of the South Island</w:t>
      </w:r>
      <w:r w:rsidR="00337294">
        <w:t xml:space="preserve"> (t</w:t>
      </w:r>
      <w:r w:rsidR="001D6448">
        <w:t xml:space="preserve">he </w:t>
      </w:r>
      <w:r w:rsidR="00C71FB1">
        <w:t>RBY 3</w:t>
      </w:r>
      <w:r>
        <w:t xml:space="preserve"> </w:t>
      </w:r>
      <w:r w:rsidR="00CE3C36">
        <w:t>QMA</w:t>
      </w:r>
      <w:r w:rsidR="00337294">
        <w:t>)</w:t>
      </w:r>
      <w:r w:rsidR="0082446C">
        <w:t xml:space="preserve"> </w:t>
      </w:r>
      <w:r>
        <w:t>represent</w:t>
      </w:r>
      <w:r w:rsidR="0082446C">
        <w:t>s</w:t>
      </w:r>
      <w:r>
        <w:t xml:space="preserve"> the southern edge of its distribution </w:t>
      </w:r>
      <w:r w:rsidR="0082446C">
        <w:t>on the east coast and it is uncommon south of these areas.</w:t>
      </w:r>
    </w:p>
    <w:p w14:paraId="7A8B1591" w14:textId="77777777" w:rsidR="00F32AB0" w:rsidRDefault="00F32AB0" w:rsidP="00471C3D"/>
    <w:p w14:paraId="44FB0BCD" w14:textId="1132F7D7" w:rsidR="003C63CF" w:rsidRDefault="00CE3C36" w:rsidP="00471C3D">
      <w:r>
        <w:t>R</w:t>
      </w:r>
      <w:r w:rsidR="00337294">
        <w:t xml:space="preserve">ubyfish in </w:t>
      </w:r>
      <w:r>
        <w:t>this area</w:t>
      </w:r>
      <w:r w:rsidR="001D6448">
        <w:t xml:space="preserve"> is </w:t>
      </w:r>
      <w:r w:rsidR="00337294">
        <w:t>taken as by</w:t>
      </w:r>
      <w:r w:rsidR="001D6448">
        <w:t xml:space="preserve">catch </w:t>
      </w:r>
      <w:r w:rsidR="00337294">
        <w:t xml:space="preserve">to other target species. In </w:t>
      </w:r>
      <w:r w:rsidR="00C71FB1">
        <w:t>RBY 3</w:t>
      </w:r>
      <w:r w:rsidR="00337294">
        <w:t xml:space="preserve"> it is most often taken while targeting redbait while in </w:t>
      </w:r>
      <w:r w:rsidR="00C71FB1">
        <w:t>RBY 4</w:t>
      </w:r>
      <w:r w:rsidR="00337294">
        <w:t xml:space="preserve"> it is most often taken while targeting alfonsino</w:t>
      </w:r>
      <w:r w:rsidR="003C63CF">
        <w:t>.</w:t>
      </w:r>
      <w:r w:rsidR="00FE05DD">
        <w:t xml:space="preserve"> </w:t>
      </w:r>
      <w:r w:rsidR="00B93FA6">
        <w:t xml:space="preserve">Infrequent, large catches of up to </w:t>
      </w:r>
      <w:r w:rsidR="0082446C">
        <w:t>3</w:t>
      </w:r>
      <w:r w:rsidR="00B93FA6">
        <w:t>0 tonnes per tow are responsible for most rubyfish catch in these areas.</w:t>
      </w:r>
    </w:p>
    <w:p w14:paraId="02803358" w14:textId="77777777" w:rsidR="00FD6831" w:rsidRDefault="00FD6831" w:rsidP="00471C3D"/>
    <w:p w14:paraId="74330CD6" w14:textId="590FEEC0" w:rsidR="00FD6831" w:rsidRDefault="00FD6831" w:rsidP="00471C3D">
      <w:r>
        <w:t xml:space="preserve">This consultation document proposes that the TACs for </w:t>
      </w:r>
      <w:r w:rsidR="00B93FA6">
        <w:t>the</w:t>
      </w:r>
      <w:r>
        <w:t xml:space="preserve"> </w:t>
      </w:r>
      <w:r w:rsidR="00C71FB1">
        <w:t>RBY 3</w:t>
      </w:r>
      <w:r>
        <w:t xml:space="preserve"> </w:t>
      </w:r>
      <w:r w:rsidR="00CE3C36">
        <w:t>stock</w:t>
      </w:r>
      <w:r>
        <w:t xml:space="preserve"> be increased in response to catch exceeding the TACC in recent years. With the exception of the status quo the proposed increases are based on the recent levels of catch, continuing the approach used as the basis for the earlier increase</w:t>
      </w:r>
      <w:r w:rsidR="00046E89">
        <w:t>s</w:t>
      </w:r>
      <w:r>
        <w:t xml:space="preserve"> to the </w:t>
      </w:r>
      <w:r w:rsidR="00C71FB1" w:rsidRPr="00923408">
        <w:t>RBY 4</w:t>
      </w:r>
      <w:r w:rsidR="00923408" w:rsidRPr="00923408">
        <w:t>, RBY 7 and RBY 8</w:t>
      </w:r>
      <w:r w:rsidRPr="00923408">
        <w:t xml:space="preserve"> TAC</w:t>
      </w:r>
      <w:r w:rsidR="00923408" w:rsidRPr="00923408">
        <w:t>s</w:t>
      </w:r>
      <w:r w:rsidRPr="00923408">
        <w:t>.</w:t>
      </w:r>
    </w:p>
    <w:p w14:paraId="4AA8BD56" w14:textId="77777777" w:rsidR="00C401D2" w:rsidRDefault="00C401D2" w:rsidP="00471C3D"/>
    <w:p w14:paraId="2B4CD9E8" w14:textId="2F3D9F5C" w:rsidR="000923CD" w:rsidRDefault="000923CD" w:rsidP="000923CD">
      <w:r>
        <w:t>Considering that the current TACC for RBY 3 is a nominal legacy value and that recent increases in effort for related species are likely behind current catch increases, the relatively minor TAC and TACC increases proposed are not only unlikely to cause a sustainability risk, but also retain incentives for correct catch reporting.</w:t>
      </w:r>
    </w:p>
    <w:p w14:paraId="554DF8C1" w14:textId="77777777" w:rsidR="000923CD" w:rsidRDefault="000923CD" w:rsidP="00471C3D"/>
    <w:p w14:paraId="358C76E8" w14:textId="31F17173" w:rsidR="00471C3D" w:rsidRDefault="00495B90" w:rsidP="00471C3D">
      <w:r>
        <w:t>For all options</w:t>
      </w:r>
      <w:r w:rsidR="00DE142F">
        <w:t xml:space="preserve"> MPI proposes </w:t>
      </w:r>
      <w:r>
        <w:t xml:space="preserve">to retain the existing nil </w:t>
      </w:r>
      <w:r w:rsidR="00DE142F" w:rsidRPr="00F86130">
        <w:t xml:space="preserve">allowance </w:t>
      </w:r>
      <w:r>
        <w:t>for r</w:t>
      </w:r>
      <w:r w:rsidRPr="00F86130">
        <w:t xml:space="preserve">ecreational </w:t>
      </w:r>
      <w:r>
        <w:t xml:space="preserve">and customary </w:t>
      </w:r>
      <w:r w:rsidR="00F0072C">
        <w:t>Māori</w:t>
      </w:r>
      <w:r>
        <w:t xml:space="preserve"> catch and to set small allowances for </w:t>
      </w:r>
      <w:r w:rsidR="00DE142F" w:rsidRPr="00F86130">
        <w:t>other sources</w:t>
      </w:r>
      <w:r w:rsidR="00DE142F">
        <w:t xml:space="preserve"> of fishing related mortality</w:t>
      </w:r>
      <w:r>
        <w:t>.</w:t>
      </w:r>
      <w:r w:rsidR="00DE142F">
        <w:t xml:space="preserve"> </w:t>
      </w:r>
    </w:p>
    <w:p w14:paraId="59E6E995" w14:textId="77777777" w:rsidR="000923CD" w:rsidRDefault="000923CD" w:rsidP="00471C3D"/>
    <w:p w14:paraId="68BA7E4B" w14:textId="77777777" w:rsidR="00786686" w:rsidRDefault="00786686"/>
    <w:sectPr w:rsidR="00786686">
      <w:footerReference w:type="even" r:id="rId26"/>
      <w:footerReference w:type="default" r:id="rId27"/>
      <w:type w:val="oddPage"/>
      <w:pgSz w:w="11906" w:h="16838"/>
      <w:pgMar w:top="1134" w:right="1418" w:bottom="1134" w:left="1418"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5632DF" w14:textId="77777777" w:rsidR="00DA1631" w:rsidRDefault="00DA1631">
      <w:r>
        <w:separator/>
      </w:r>
    </w:p>
  </w:endnote>
  <w:endnote w:type="continuationSeparator" w:id="0">
    <w:p w14:paraId="24CA8EFE" w14:textId="77777777" w:rsidR="00DA1631" w:rsidRDefault="00DA16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A62C30" w14:textId="77777777" w:rsidR="00DA1631" w:rsidRDefault="00DA1631">
    <w:pPr>
      <w:pStyle w:val="Footer"/>
    </w:pPr>
    <w:r>
      <w:rPr>
        <w:noProof/>
        <w:lang w:eastAsia="en-NZ"/>
      </w:rPr>
      <w:drawing>
        <wp:anchor distT="0" distB="0" distL="114300" distR="114300" simplePos="0" relativeHeight="251659776" behindDoc="0" locked="0" layoutInCell="1" allowOverlap="1" wp14:anchorId="4FB1120F" wp14:editId="570EB246">
          <wp:simplePos x="0" y="0"/>
          <wp:positionH relativeFrom="column">
            <wp:posOffset>1565275</wp:posOffset>
          </wp:positionH>
          <wp:positionV relativeFrom="paragraph">
            <wp:posOffset>70485</wp:posOffset>
          </wp:positionV>
          <wp:extent cx="2343785" cy="284480"/>
          <wp:effectExtent l="0" t="0" r="0" b="1270"/>
          <wp:wrapNone/>
          <wp:docPr id="15" name="Picture 15" descr="growing-and-protecting-new-zea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growing-and-protecting-new-zealan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3785" cy="2844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NZ"/>
      </w:rPr>
      <w:drawing>
        <wp:anchor distT="0" distB="0" distL="114300" distR="114300" simplePos="0" relativeHeight="251658752" behindDoc="0" locked="0" layoutInCell="1" allowOverlap="1" wp14:anchorId="69DA05B0" wp14:editId="6C191E1B">
          <wp:simplePos x="0" y="0"/>
          <wp:positionH relativeFrom="column">
            <wp:posOffset>-1274445</wp:posOffset>
          </wp:positionH>
          <wp:positionV relativeFrom="paragraph">
            <wp:posOffset>131445</wp:posOffset>
          </wp:positionV>
          <wp:extent cx="1656080" cy="168910"/>
          <wp:effectExtent l="0" t="0" r="1270" b="2540"/>
          <wp:wrapNone/>
          <wp:docPr id="14" name="Picture 14" descr="newzealand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newzealand governmen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56080" cy="1689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26732D" w14:textId="77777777" w:rsidR="00DA1631" w:rsidRDefault="00DA163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w:t>
    </w:r>
    <w:r>
      <w:rPr>
        <w:rStyle w:val="PageNumber"/>
      </w:rPr>
      <w:fldChar w:fldCharType="end"/>
    </w:r>
  </w:p>
  <w:p w14:paraId="181D31DC" w14:textId="77777777" w:rsidR="00DA1631" w:rsidRDefault="00DA1631">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9290B6" w14:textId="77777777" w:rsidR="00DA1631" w:rsidRPr="00231D6D" w:rsidRDefault="00DA1631">
    <w:pPr>
      <w:pStyle w:val="Footer"/>
      <w:pBdr>
        <w:top w:val="single" w:sz="4" w:space="1" w:color="auto"/>
      </w:pBdr>
      <w:tabs>
        <w:tab w:val="clear" w:pos="8640"/>
      </w:tabs>
      <w:jc w:val="center"/>
    </w:pPr>
    <w:r w:rsidRPr="00231D6D">
      <w:rPr>
        <w:rStyle w:val="PageNumber"/>
      </w:rPr>
      <w:fldChar w:fldCharType="begin"/>
    </w:r>
    <w:r w:rsidRPr="00231D6D">
      <w:rPr>
        <w:rStyle w:val="PageNumber"/>
      </w:rPr>
      <w:instrText xml:space="preserve"> PAGE </w:instrText>
    </w:r>
    <w:r w:rsidRPr="00231D6D">
      <w:rPr>
        <w:rStyle w:val="PageNumber"/>
      </w:rPr>
      <w:fldChar w:fldCharType="separate"/>
    </w:r>
    <w:r w:rsidR="00B1113A">
      <w:rPr>
        <w:rStyle w:val="PageNumber"/>
        <w:noProof/>
      </w:rPr>
      <w:t>i</w:t>
    </w:r>
    <w:r w:rsidRPr="00231D6D">
      <w:rPr>
        <w:rStyle w:val="PageNumber"/>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EF5714" w14:textId="77777777" w:rsidR="00DA1631" w:rsidRDefault="00DA1631">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55B707" w14:textId="77777777" w:rsidR="00DA1631" w:rsidRDefault="00DA163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w:t>
    </w:r>
    <w:r>
      <w:rPr>
        <w:rStyle w:val="PageNumber"/>
      </w:rPr>
      <w:fldChar w:fldCharType="end"/>
    </w:r>
  </w:p>
  <w:p w14:paraId="605B6E31" w14:textId="77777777" w:rsidR="00DA1631" w:rsidRDefault="00DA1631">
    <w:pPr>
      <w:pStyle w:val="Footer"/>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A01820" w14:textId="33344503" w:rsidR="00DA1631" w:rsidRPr="00231D6D" w:rsidRDefault="00DA1631">
    <w:pPr>
      <w:pStyle w:val="Footer"/>
      <w:pBdr>
        <w:top w:val="single" w:sz="4" w:space="1" w:color="auto"/>
      </w:pBdr>
      <w:tabs>
        <w:tab w:val="clear" w:pos="8640"/>
      </w:tabs>
      <w:jc w:val="center"/>
    </w:pPr>
    <w:r w:rsidRPr="00231D6D">
      <w:rPr>
        <w:rStyle w:val="PageNumber"/>
      </w:rPr>
      <w:fldChar w:fldCharType="begin"/>
    </w:r>
    <w:r w:rsidRPr="00231D6D">
      <w:rPr>
        <w:rStyle w:val="PageNumber"/>
      </w:rPr>
      <w:instrText xml:space="preserve"> PAGE </w:instrText>
    </w:r>
    <w:r w:rsidRPr="00231D6D">
      <w:rPr>
        <w:rStyle w:val="PageNumber"/>
      </w:rPr>
      <w:fldChar w:fldCharType="separate"/>
    </w:r>
    <w:r w:rsidR="00B1113A">
      <w:rPr>
        <w:rStyle w:val="PageNumber"/>
        <w:noProof/>
      </w:rPr>
      <w:t>i</w:t>
    </w:r>
    <w:r w:rsidRPr="00231D6D">
      <w:rPr>
        <w:rStyle w:val="PageNumber"/>
      </w:rPr>
      <w:fldChar w:fldCharType="end"/>
    </w:r>
    <w:r w:rsidR="00D15C11">
      <w:rPr>
        <w:rStyle w:val="PageNumber"/>
      </w:rPr>
      <w:t>i</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CD19CF" w14:textId="77777777" w:rsidR="00DA1631" w:rsidRDefault="00DA1631">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A5853B" w14:textId="1E0F6E1B" w:rsidR="00DA1631" w:rsidRPr="0063707E" w:rsidRDefault="00DA1631">
    <w:pPr>
      <w:pStyle w:val="Footer"/>
      <w:pBdr>
        <w:top w:val="single" w:sz="4" w:space="1" w:color="auto"/>
      </w:pBdr>
      <w:tabs>
        <w:tab w:val="clear" w:pos="4320"/>
        <w:tab w:val="clear" w:pos="8640"/>
        <w:tab w:val="right" w:pos="9072"/>
      </w:tabs>
    </w:pPr>
    <w:r w:rsidRPr="0063707E">
      <w:rPr>
        <w:rStyle w:val="PageNumber"/>
      </w:rPr>
      <w:fldChar w:fldCharType="begin"/>
    </w:r>
    <w:r w:rsidRPr="0063707E">
      <w:rPr>
        <w:rStyle w:val="PageNumber"/>
      </w:rPr>
      <w:instrText xml:space="preserve"> PAGE </w:instrText>
    </w:r>
    <w:r w:rsidRPr="0063707E">
      <w:rPr>
        <w:rStyle w:val="PageNumber"/>
      </w:rPr>
      <w:fldChar w:fldCharType="separate"/>
    </w:r>
    <w:r w:rsidR="00B1113A">
      <w:rPr>
        <w:rStyle w:val="PageNumber"/>
        <w:noProof/>
      </w:rPr>
      <w:t>8</w:t>
    </w:r>
    <w:r w:rsidRPr="0063707E">
      <w:rPr>
        <w:rStyle w:val="PageNumber"/>
      </w:rPr>
      <w:fldChar w:fldCharType="end"/>
    </w:r>
    <w:r w:rsidRPr="0063707E">
      <w:rPr>
        <w:rStyle w:val="PageNumber"/>
      </w:rPr>
      <w:t xml:space="preserve"> </w:t>
    </w:r>
    <w:r w:rsidRPr="0063707E">
      <w:sym w:font="Symbol" w:char="F0B7"/>
    </w:r>
    <w:r w:rsidR="00DE5B27">
      <w:t xml:space="preserve"> Review of Management C</w:t>
    </w:r>
    <w:r>
      <w:t>ontrols for RBY 3</w:t>
    </w:r>
    <w:r w:rsidRPr="0063707E">
      <w:rPr>
        <w:rStyle w:val="PageNumber"/>
      </w:rPr>
      <w:tab/>
    </w:r>
    <w:r>
      <w:t>Ministry for Primary Industries</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CD327D" w14:textId="590E3091" w:rsidR="00DA1631" w:rsidRPr="00C57E79" w:rsidRDefault="00DA1631">
    <w:pPr>
      <w:pStyle w:val="Footer"/>
      <w:pBdr>
        <w:top w:val="single" w:sz="4" w:space="1" w:color="auto"/>
      </w:pBdr>
      <w:tabs>
        <w:tab w:val="clear" w:pos="4320"/>
        <w:tab w:val="clear" w:pos="8640"/>
        <w:tab w:val="right" w:pos="9072"/>
      </w:tabs>
    </w:pPr>
    <w:r>
      <w:t>Ministry for Primary Industries</w:t>
    </w:r>
    <w:r w:rsidRPr="00C57E79">
      <w:t xml:space="preserve"> </w:t>
    </w:r>
    <w:r w:rsidRPr="00C57E79">
      <w:tab/>
    </w:r>
    <w:r w:rsidR="00DE5B27">
      <w:t>Review of M</w:t>
    </w:r>
    <w:r>
      <w:t xml:space="preserve">anagement </w:t>
    </w:r>
    <w:r w:rsidR="00DE5B27">
      <w:t>C</w:t>
    </w:r>
    <w:r>
      <w:t xml:space="preserve">ontrols for RBY 3 </w:t>
    </w:r>
    <w:r w:rsidRPr="00C57E79">
      <w:sym w:font="Symbol" w:char="F0B7"/>
    </w:r>
    <w:r w:rsidRPr="00C57E79">
      <w:t xml:space="preserve"> </w:t>
    </w:r>
    <w:r w:rsidRPr="00C57E79">
      <w:rPr>
        <w:rStyle w:val="PageNumber"/>
      </w:rPr>
      <w:fldChar w:fldCharType="begin"/>
    </w:r>
    <w:r w:rsidRPr="00C57E79">
      <w:rPr>
        <w:rStyle w:val="PageNumber"/>
      </w:rPr>
      <w:instrText xml:space="preserve"> PAGE </w:instrText>
    </w:r>
    <w:r w:rsidRPr="00C57E79">
      <w:rPr>
        <w:rStyle w:val="PageNumber"/>
      </w:rPr>
      <w:fldChar w:fldCharType="separate"/>
    </w:r>
    <w:r w:rsidR="00B1113A">
      <w:rPr>
        <w:rStyle w:val="PageNumber"/>
        <w:noProof/>
      </w:rPr>
      <w:t>9</w:t>
    </w:r>
    <w:r w:rsidRPr="00C57E79">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1A738E" w14:textId="77777777" w:rsidR="00DA1631" w:rsidRDefault="00DA1631">
      <w:r>
        <w:separator/>
      </w:r>
    </w:p>
  </w:footnote>
  <w:footnote w:type="continuationSeparator" w:id="0">
    <w:p w14:paraId="4596CE83" w14:textId="77777777" w:rsidR="00DA1631" w:rsidRDefault="00DA1631">
      <w:r>
        <w:continuationSeparator/>
      </w:r>
    </w:p>
  </w:footnote>
  <w:footnote w:id="1">
    <w:p w14:paraId="12C4AFBB" w14:textId="2794A79A" w:rsidR="00DA1631" w:rsidRPr="000923CD" w:rsidRDefault="00DA1631" w:rsidP="001B6740">
      <w:pPr>
        <w:pStyle w:val="FootnoteText"/>
        <w:rPr>
          <w:rFonts w:ascii="Arial Narrow" w:hAnsi="Arial Narrow"/>
        </w:rPr>
      </w:pPr>
      <w:r w:rsidRPr="000923CD">
        <w:rPr>
          <w:rStyle w:val="FootnoteReference"/>
          <w:rFonts w:ascii="Arial Narrow" w:hAnsi="Arial Narrow"/>
          <w:sz w:val="18"/>
        </w:rPr>
        <w:footnoteRef/>
      </w:r>
      <w:r w:rsidRPr="000923CD">
        <w:rPr>
          <w:rFonts w:ascii="Arial Narrow" w:hAnsi="Arial Narrow"/>
          <w:sz w:val="18"/>
        </w:rPr>
        <w:t xml:space="preserve"> For more information on this please refer to the corresponding consultation paper addressing deemed value rate changes for the 2016/17 fishing year.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2F381E" w14:textId="77777777" w:rsidR="00DA1631" w:rsidRDefault="00DA1631" w:rsidP="009F7A2D">
    <w:pPr>
      <w:pStyle w:val="Header"/>
      <w:jc w:val="right"/>
    </w:pPr>
    <w:r>
      <w:rPr>
        <w:noProof/>
        <w:lang w:eastAsia="en-NZ"/>
      </w:rPr>
      <w:drawing>
        <wp:anchor distT="0" distB="0" distL="114300" distR="114300" simplePos="0" relativeHeight="251656704" behindDoc="0" locked="0" layoutInCell="1" allowOverlap="1" wp14:anchorId="2584F1B3" wp14:editId="783935E4">
          <wp:simplePos x="0" y="0"/>
          <wp:positionH relativeFrom="column">
            <wp:posOffset>705485</wp:posOffset>
          </wp:positionH>
          <wp:positionV relativeFrom="paragraph">
            <wp:posOffset>-39370</wp:posOffset>
          </wp:positionV>
          <wp:extent cx="3200400" cy="734695"/>
          <wp:effectExtent l="0" t="0" r="0" b="8255"/>
          <wp:wrapNone/>
          <wp:docPr id="10" name="Picture 10" descr="MPI-logo-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PI-logo-colo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00400" cy="7346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72DD3">
      <w:rPr>
        <w:noProof/>
        <w:lang w:eastAsia="en-NZ"/>
      </w:rPr>
      <w:drawing>
        <wp:anchor distT="0" distB="0" distL="114300" distR="114300" simplePos="0" relativeHeight="251657728" behindDoc="0" locked="0" layoutInCell="1" allowOverlap="1" wp14:anchorId="45D5722D" wp14:editId="2889F60D">
          <wp:simplePos x="0" y="0"/>
          <wp:positionH relativeFrom="column">
            <wp:posOffset>-3159125</wp:posOffset>
          </wp:positionH>
          <wp:positionV relativeFrom="paragraph">
            <wp:posOffset>-683260</wp:posOffset>
          </wp:positionV>
          <wp:extent cx="1969770" cy="1120140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69770" cy="11201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D82C8E" w14:textId="77777777" w:rsidR="00DA1631" w:rsidRDefault="00DA1631" w:rsidP="009F7A2D">
    <w:pPr>
      <w:pStyle w:val="Header"/>
      <w:jc w:val="right"/>
    </w:pPr>
    <w:r>
      <w:rPr>
        <w:noProof/>
        <w:lang w:eastAsia="en-NZ"/>
      </w:rPr>
      <mc:AlternateContent>
        <mc:Choice Requires="wps">
          <w:drawing>
            <wp:anchor distT="0" distB="0" distL="114300" distR="114300" simplePos="0" relativeHeight="251661824" behindDoc="0" locked="0" layoutInCell="1" allowOverlap="1" wp14:anchorId="2AD07CC5" wp14:editId="1B4F5E38">
              <wp:simplePos x="0" y="0"/>
              <wp:positionH relativeFrom="column">
                <wp:posOffset>-3159125</wp:posOffset>
              </wp:positionH>
              <wp:positionV relativeFrom="paragraph">
                <wp:posOffset>-454660</wp:posOffset>
              </wp:positionV>
              <wp:extent cx="2160270" cy="1074420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0270" cy="10744200"/>
                      </a:xfrm>
                      <a:prstGeom prst="rect">
                        <a:avLst/>
                      </a:prstGeom>
                      <a:solidFill>
                        <a:srgbClr val="FDB913"/>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2028F8" id="Rectangle 4" o:spid="_x0000_s1026" style="position:absolute;margin-left:-248.75pt;margin-top:-35.8pt;width:170.1pt;height:84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" fillcolor="#fdb913" stroked="f" strokeweight="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7B1410" w14:textId="77777777" w:rsidR="00DA1631" w:rsidRDefault="00DA1631" w:rsidP="009F7A2D">
    <w:pPr>
      <w:pStyle w:val="Header"/>
      <w:jc w:val="right"/>
    </w:pPr>
    <w:r>
      <w:rPr>
        <w:noProof/>
        <w:lang w:eastAsia="en-NZ"/>
      </w:rPr>
      <mc:AlternateContent>
        <mc:Choice Requires="wps">
          <w:drawing>
            <wp:anchor distT="0" distB="0" distL="114300" distR="114300" simplePos="0" relativeHeight="251655680" behindDoc="0" locked="0" layoutInCell="1" allowOverlap="1" wp14:anchorId="1AA4E49A" wp14:editId="42E2A5E9">
              <wp:simplePos x="0" y="0"/>
              <wp:positionH relativeFrom="column">
                <wp:posOffset>-3159125</wp:posOffset>
              </wp:positionH>
              <wp:positionV relativeFrom="paragraph">
                <wp:posOffset>-454660</wp:posOffset>
              </wp:positionV>
              <wp:extent cx="2160270" cy="10744200"/>
              <wp:effectExtent l="0" t="0" r="0"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0270" cy="10744200"/>
                      </a:xfrm>
                      <a:prstGeom prst="rect">
                        <a:avLst/>
                      </a:prstGeom>
                      <a:solidFill>
                        <a:srgbClr val="FDB913"/>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3A81A7" id="Rectangle 4" o:spid="_x0000_s1026" style="position:absolute;margin-left:-248.75pt;margin-top:-35.8pt;width:170.1pt;height:84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" fillcolor="#fdb913" stroked="f" strokeweight="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A16C43C8"/>
    <w:lvl w:ilvl="0">
      <w:start w:val="1"/>
      <w:numFmt w:val="lowerLetter"/>
      <w:pStyle w:val="ListNumber2"/>
      <w:lvlText w:val="%1)"/>
      <w:lvlJc w:val="left"/>
      <w:pPr>
        <w:tabs>
          <w:tab w:val="num" w:pos="284"/>
        </w:tabs>
        <w:ind w:left="284" w:hanging="284"/>
      </w:pPr>
      <w:rPr>
        <w:rFonts w:hint="default"/>
      </w:rPr>
    </w:lvl>
  </w:abstractNum>
  <w:abstractNum w:abstractNumId="1" w15:restartNumberingAfterBreak="0">
    <w:nsid w:val="FFFFFF83"/>
    <w:multiLevelType w:val="singleLevel"/>
    <w:tmpl w:val="42A06A24"/>
    <w:lvl w:ilvl="0">
      <w:start w:val="1"/>
      <w:numFmt w:val="bullet"/>
      <w:pStyle w:val="ListBullet2"/>
      <w:lvlText w:val="−"/>
      <w:lvlJc w:val="left"/>
      <w:pPr>
        <w:tabs>
          <w:tab w:val="num" w:pos="566"/>
        </w:tabs>
        <w:ind w:left="566" w:hanging="283"/>
      </w:pPr>
      <w:rPr>
        <w:rFonts w:ascii="Times New Roman" w:hAnsi="Times New Roman" w:cs="Times New Roman" w:hint="default"/>
      </w:rPr>
    </w:lvl>
  </w:abstractNum>
  <w:abstractNum w:abstractNumId="2" w15:restartNumberingAfterBreak="0">
    <w:nsid w:val="FFFFFF88"/>
    <w:multiLevelType w:val="singleLevel"/>
    <w:tmpl w:val="2E42FB1A"/>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7136B1D4"/>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76447A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7904BA0"/>
    <w:multiLevelType w:val="singleLevel"/>
    <w:tmpl w:val="0809000F"/>
    <w:lvl w:ilvl="0">
      <w:start w:val="1"/>
      <w:numFmt w:val="decimal"/>
      <w:lvlText w:val="%1."/>
      <w:lvlJc w:val="left"/>
      <w:pPr>
        <w:tabs>
          <w:tab w:val="num" w:pos="360"/>
        </w:tabs>
        <w:ind w:left="360" w:hanging="360"/>
      </w:pPr>
    </w:lvl>
  </w:abstractNum>
  <w:abstractNum w:abstractNumId="6" w15:restartNumberingAfterBreak="0">
    <w:nsid w:val="0C37580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F9F68F9"/>
    <w:multiLevelType w:val="multilevel"/>
    <w:tmpl w:val="EFB46E2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10704D82"/>
    <w:multiLevelType w:val="singleLevel"/>
    <w:tmpl w:val="ECA29382"/>
    <w:lvl w:ilvl="0">
      <w:start w:val="1"/>
      <w:numFmt w:val="bullet"/>
      <w:lvlText w:val=""/>
      <w:lvlJc w:val="left"/>
      <w:pPr>
        <w:tabs>
          <w:tab w:val="num" w:pos="2174"/>
        </w:tabs>
        <w:ind w:left="2097" w:hanging="283"/>
      </w:pPr>
      <w:rPr>
        <w:rFonts w:ascii="Symbol" w:hAnsi="Symbol" w:hint="default"/>
        <w:sz w:val="22"/>
      </w:rPr>
    </w:lvl>
  </w:abstractNum>
  <w:abstractNum w:abstractNumId="9" w15:restartNumberingAfterBreak="0">
    <w:nsid w:val="12D05A26"/>
    <w:multiLevelType w:val="multilevel"/>
    <w:tmpl w:val="1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15:restartNumberingAfterBreak="0">
    <w:nsid w:val="18FF2CD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AA56F47"/>
    <w:multiLevelType w:val="singleLevel"/>
    <w:tmpl w:val="ECA29382"/>
    <w:lvl w:ilvl="0">
      <w:start w:val="1"/>
      <w:numFmt w:val="bullet"/>
      <w:lvlText w:val=""/>
      <w:lvlJc w:val="left"/>
      <w:pPr>
        <w:tabs>
          <w:tab w:val="num" w:pos="2174"/>
        </w:tabs>
        <w:ind w:left="2097" w:hanging="283"/>
      </w:pPr>
      <w:rPr>
        <w:rFonts w:ascii="Symbol" w:hAnsi="Symbol" w:hint="default"/>
        <w:sz w:val="22"/>
      </w:rPr>
    </w:lvl>
  </w:abstractNum>
  <w:abstractNum w:abstractNumId="12" w15:restartNumberingAfterBreak="0">
    <w:nsid w:val="20A5068D"/>
    <w:multiLevelType w:val="singleLevel"/>
    <w:tmpl w:val="ECA29382"/>
    <w:lvl w:ilvl="0">
      <w:start w:val="1"/>
      <w:numFmt w:val="bullet"/>
      <w:lvlText w:val=""/>
      <w:lvlJc w:val="left"/>
      <w:pPr>
        <w:tabs>
          <w:tab w:val="num" w:pos="2174"/>
        </w:tabs>
        <w:ind w:left="2097" w:hanging="283"/>
      </w:pPr>
      <w:rPr>
        <w:rFonts w:ascii="Symbol" w:hAnsi="Symbol" w:hint="default"/>
        <w:sz w:val="22"/>
      </w:rPr>
    </w:lvl>
  </w:abstractNum>
  <w:abstractNum w:abstractNumId="13" w15:restartNumberingAfterBreak="0">
    <w:nsid w:val="2336194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F6F6FF2"/>
    <w:multiLevelType w:val="singleLevel"/>
    <w:tmpl w:val="0809000F"/>
    <w:lvl w:ilvl="0">
      <w:start w:val="1"/>
      <w:numFmt w:val="decimal"/>
      <w:lvlText w:val="%1."/>
      <w:lvlJc w:val="left"/>
      <w:pPr>
        <w:tabs>
          <w:tab w:val="num" w:pos="360"/>
        </w:tabs>
        <w:ind w:left="360" w:hanging="360"/>
      </w:pPr>
    </w:lvl>
  </w:abstractNum>
  <w:abstractNum w:abstractNumId="15" w15:restartNumberingAfterBreak="0">
    <w:nsid w:val="3715718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061154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88F57B8"/>
    <w:multiLevelType w:val="singleLevel"/>
    <w:tmpl w:val="ECA29382"/>
    <w:lvl w:ilvl="0">
      <w:start w:val="1"/>
      <w:numFmt w:val="bullet"/>
      <w:lvlText w:val=""/>
      <w:lvlJc w:val="left"/>
      <w:pPr>
        <w:tabs>
          <w:tab w:val="num" w:pos="2174"/>
        </w:tabs>
        <w:ind w:left="2097" w:hanging="283"/>
      </w:pPr>
      <w:rPr>
        <w:rFonts w:ascii="Symbol" w:hAnsi="Symbol" w:hint="default"/>
        <w:sz w:val="22"/>
      </w:rPr>
    </w:lvl>
  </w:abstractNum>
  <w:abstractNum w:abstractNumId="18" w15:restartNumberingAfterBreak="0">
    <w:nsid w:val="4B745AC8"/>
    <w:multiLevelType w:val="singleLevel"/>
    <w:tmpl w:val="FD288032"/>
    <w:lvl w:ilvl="0">
      <w:start w:val="1"/>
      <w:numFmt w:val="decimal"/>
      <w:lvlText w:val="%1."/>
      <w:lvlJc w:val="left"/>
      <w:pPr>
        <w:tabs>
          <w:tab w:val="num" w:pos="360"/>
        </w:tabs>
        <w:ind w:left="360" w:hanging="360"/>
      </w:pPr>
      <w:rPr>
        <w:rFonts w:hint="default"/>
      </w:rPr>
    </w:lvl>
  </w:abstractNum>
  <w:abstractNum w:abstractNumId="19" w15:restartNumberingAfterBreak="0">
    <w:nsid w:val="4C157AF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DCD7792"/>
    <w:multiLevelType w:val="singleLevel"/>
    <w:tmpl w:val="E8384DC6"/>
    <w:lvl w:ilvl="0">
      <w:start w:val="1"/>
      <w:numFmt w:val="bullet"/>
      <w:pStyle w:val="ListBullet"/>
      <w:lvlText w:val=""/>
      <w:lvlJc w:val="left"/>
      <w:pPr>
        <w:tabs>
          <w:tab w:val="num" w:pos="360"/>
        </w:tabs>
        <w:ind w:left="360" w:hanging="360"/>
      </w:pPr>
      <w:rPr>
        <w:rFonts w:ascii="Symbol" w:hAnsi="Symbol" w:hint="default"/>
      </w:rPr>
    </w:lvl>
  </w:abstractNum>
  <w:abstractNum w:abstractNumId="21" w15:restartNumberingAfterBreak="0">
    <w:nsid w:val="4ED62B39"/>
    <w:multiLevelType w:val="singleLevel"/>
    <w:tmpl w:val="ECA29382"/>
    <w:lvl w:ilvl="0">
      <w:start w:val="1"/>
      <w:numFmt w:val="bullet"/>
      <w:lvlText w:val=""/>
      <w:lvlJc w:val="left"/>
      <w:pPr>
        <w:tabs>
          <w:tab w:val="num" w:pos="2174"/>
        </w:tabs>
        <w:ind w:left="2097" w:hanging="283"/>
      </w:pPr>
      <w:rPr>
        <w:rFonts w:ascii="Symbol" w:hAnsi="Symbol" w:hint="default"/>
        <w:sz w:val="22"/>
      </w:rPr>
    </w:lvl>
  </w:abstractNum>
  <w:abstractNum w:abstractNumId="22" w15:restartNumberingAfterBreak="0">
    <w:nsid w:val="52B64A88"/>
    <w:multiLevelType w:val="singleLevel"/>
    <w:tmpl w:val="0809000F"/>
    <w:lvl w:ilvl="0">
      <w:start w:val="1"/>
      <w:numFmt w:val="decimal"/>
      <w:lvlText w:val="%1."/>
      <w:lvlJc w:val="left"/>
      <w:pPr>
        <w:tabs>
          <w:tab w:val="num" w:pos="360"/>
        </w:tabs>
        <w:ind w:left="360" w:hanging="360"/>
      </w:pPr>
    </w:lvl>
  </w:abstractNum>
  <w:abstractNum w:abstractNumId="23" w15:restartNumberingAfterBreak="0">
    <w:nsid w:val="535352E0"/>
    <w:multiLevelType w:val="singleLevel"/>
    <w:tmpl w:val="0809000F"/>
    <w:lvl w:ilvl="0">
      <w:start w:val="1"/>
      <w:numFmt w:val="decimal"/>
      <w:lvlText w:val="%1."/>
      <w:lvlJc w:val="left"/>
      <w:pPr>
        <w:tabs>
          <w:tab w:val="num" w:pos="360"/>
        </w:tabs>
        <w:ind w:left="360" w:hanging="360"/>
      </w:pPr>
    </w:lvl>
  </w:abstractNum>
  <w:abstractNum w:abstractNumId="24" w15:restartNumberingAfterBreak="0">
    <w:nsid w:val="53C60E2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5BE5358F"/>
    <w:multiLevelType w:val="singleLevel"/>
    <w:tmpl w:val="ECA29382"/>
    <w:lvl w:ilvl="0">
      <w:start w:val="1"/>
      <w:numFmt w:val="bullet"/>
      <w:lvlText w:val=""/>
      <w:lvlJc w:val="left"/>
      <w:pPr>
        <w:tabs>
          <w:tab w:val="num" w:pos="2174"/>
        </w:tabs>
        <w:ind w:left="2097" w:hanging="283"/>
      </w:pPr>
      <w:rPr>
        <w:rFonts w:ascii="Symbol" w:hAnsi="Symbol" w:hint="default"/>
        <w:sz w:val="22"/>
      </w:rPr>
    </w:lvl>
  </w:abstractNum>
  <w:abstractNum w:abstractNumId="26" w15:restartNumberingAfterBreak="0">
    <w:nsid w:val="61541F2C"/>
    <w:multiLevelType w:val="singleLevel"/>
    <w:tmpl w:val="755A64F6"/>
    <w:lvl w:ilvl="0">
      <w:start w:val="1"/>
      <w:numFmt w:val="decimal"/>
      <w:pStyle w:val="ListNumber"/>
      <w:lvlText w:val="%1."/>
      <w:lvlJc w:val="left"/>
      <w:pPr>
        <w:tabs>
          <w:tab w:val="num" w:pos="1778"/>
        </w:tabs>
        <w:ind w:left="1758" w:hanging="340"/>
      </w:pPr>
      <w:rPr>
        <w:rFonts w:ascii="Times New Roman" w:hAnsi="Times New Roman" w:hint="default"/>
        <w:b w:val="0"/>
        <w:i w:val="0"/>
        <w:sz w:val="24"/>
        <w:effect w:val="none"/>
      </w:rPr>
    </w:lvl>
  </w:abstractNum>
  <w:abstractNum w:abstractNumId="27" w15:restartNumberingAfterBreak="0">
    <w:nsid w:val="61C7604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6D094542"/>
    <w:multiLevelType w:val="hybridMultilevel"/>
    <w:tmpl w:val="D7465A36"/>
    <w:lvl w:ilvl="0" w:tplc="33DCEE24">
      <w:start w:val="1"/>
      <w:numFmt w:val="decimal"/>
      <w:lvlText w:val="%1"/>
      <w:lvlJc w:val="left"/>
      <w:pPr>
        <w:ind w:left="720" w:hanging="360"/>
      </w:pPr>
      <w:rPr>
        <w:rFonts w:ascii="Times New Roman" w:hAnsi="Times New Roman" w:cs="Times New Roman" w:hint="default"/>
        <w:b w:val="0"/>
        <w:i w:val="0"/>
      </w:rPr>
    </w:lvl>
    <w:lvl w:ilvl="1" w:tplc="14090019">
      <w:start w:val="1"/>
      <w:numFmt w:val="decimal"/>
      <w:lvlText w:val="%2."/>
      <w:lvlJc w:val="left"/>
      <w:pPr>
        <w:tabs>
          <w:tab w:val="num" w:pos="1440"/>
        </w:tabs>
        <w:ind w:left="1440" w:hanging="360"/>
      </w:pPr>
      <w:rPr>
        <w:rFonts w:cs="Times New Roman"/>
      </w:rPr>
    </w:lvl>
    <w:lvl w:ilvl="2" w:tplc="1409001B">
      <w:start w:val="1"/>
      <w:numFmt w:val="decimal"/>
      <w:lvlText w:val="%3."/>
      <w:lvlJc w:val="left"/>
      <w:pPr>
        <w:tabs>
          <w:tab w:val="num" w:pos="2160"/>
        </w:tabs>
        <w:ind w:left="2160" w:hanging="360"/>
      </w:pPr>
      <w:rPr>
        <w:rFonts w:cs="Times New Roman"/>
      </w:rPr>
    </w:lvl>
    <w:lvl w:ilvl="3" w:tplc="1409000F">
      <w:start w:val="1"/>
      <w:numFmt w:val="decimal"/>
      <w:lvlText w:val="%4."/>
      <w:lvlJc w:val="left"/>
      <w:pPr>
        <w:tabs>
          <w:tab w:val="num" w:pos="2880"/>
        </w:tabs>
        <w:ind w:left="2880" w:hanging="360"/>
      </w:pPr>
      <w:rPr>
        <w:rFonts w:cs="Times New Roman"/>
      </w:rPr>
    </w:lvl>
    <w:lvl w:ilvl="4" w:tplc="14090019">
      <w:start w:val="1"/>
      <w:numFmt w:val="decimal"/>
      <w:lvlText w:val="%5."/>
      <w:lvlJc w:val="left"/>
      <w:pPr>
        <w:tabs>
          <w:tab w:val="num" w:pos="3600"/>
        </w:tabs>
        <w:ind w:left="3600" w:hanging="360"/>
      </w:pPr>
      <w:rPr>
        <w:rFonts w:cs="Times New Roman"/>
      </w:rPr>
    </w:lvl>
    <w:lvl w:ilvl="5" w:tplc="1409001B">
      <w:start w:val="1"/>
      <w:numFmt w:val="decimal"/>
      <w:lvlText w:val="%6."/>
      <w:lvlJc w:val="left"/>
      <w:pPr>
        <w:tabs>
          <w:tab w:val="num" w:pos="4320"/>
        </w:tabs>
        <w:ind w:left="4320" w:hanging="360"/>
      </w:pPr>
      <w:rPr>
        <w:rFonts w:cs="Times New Roman"/>
      </w:rPr>
    </w:lvl>
    <w:lvl w:ilvl="6" w:tplc="1409000F">
      <w:start w:val="1"/>
      <w:numFmt w:val="decimal"/>
      <w:lvlText w:val="%7."/>
      <w:lvlJc w:val="left"/>
      <w:pPr>
        <w:tabs>
          <w:tab w:val="num" w:pos="5040"/>
        </w:tabs>
        <w:ind w:left="5040" w:hanging="360"/>
      </w:pPr>
      <w:rPr>
        <w:rFonts w:cs="Times New Roman"/>
      </w:rPr>
    </w:lvl>
    <w:lvl w:ilvl="7" w:tplc="14090019">
      <w:start w:val="1"/>
      <w:numFmt w:val="decimal"/>
      <w:lvlText w:val="%8."/>
      <w:lvlJc w:val="left"/>
      <w:pPr>
        <w:tabs>
          <w:tab w:val="num" w:pos="5760"/>
        </w:tabs>
        <w:ind w:left="5760" w:hanging="360"/>
      </w:pPr>
      <w:rPr>
        <w:rFonts w:cs="Times New Roman"/>
      </w:rPr>
    </w:lvl>
    <w:lvl w:ilvl="8" w:tplc="1409001B">
      <w:start w:val="1"/>
      <w:numFmt w:val="decimal"/>
      <w:lvlText w:val="%9."/>
      <w:lvlJc w:val="left"/>
      <w:pPr>
        <w:tabs>
          <w:tab w:val="num" w:pos="6480"/>
        </w:tabs>
        <w:ind w:left="6480" w:hanging="360"/>
      </w:pPr>
      <w:rPr>
        <w:rFonts w:cs="Times New Roman"/>
      </w:rPr>
    </w:lvl>
  </w:abstractNum>
  <w:abstractNum w:abstractNumId="29" w15:restartNumberingAfterBreak="0">
    <w:nsid w:val="70F069F4"/>
    <w:multiLevelType w:val="singleLevel"/>
    <w:tmpl w:val="0809000F"/>
    <w:lvl w:ilvl="0">
      <w:start w:val="1"/>
      <w:numFmt w:val="decimal"/>
      <w:lvlText w:val="%1."/>
      <w:lvlJc w:val="left"/>
      <w:pPr>
        <w:tabs>
          <w:tab w:val="num" w:pos="360"/>
        </w:tabs>
        <w:ind w:left="360" w:hanging="360"/>
      </w:pPr>
    </w:lvl>
  </w:abstractNum>
  <w:abstractNum w:abstractNumId="30" w15:restartNumberingAfterBreak="0">
    <w:nsid w:val="76B07E4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91E3568"/>
    <w:multiLevelType w:val="singleLevel"/>
    <w:tmpl w:val="ECA29382"/>
    <w:lvl w:ilvl="0">
      <w:start w:val="1"/>
      <w:numFmt w:val="bullet"/>
      <w:lvlText w:val=""/>
      <w:lvlJc w:val="left"/>
      <w:pPr>
        <w:tabs>
          <w:tab w:val="num" w:pos="2174"/>
        </w:tabs>
        <w:ind w:left="2097" w:hanging="283"/>
      </w:pPr>
      <w:rPr>
        <w:rFonts w:ascii="Symbol" w:hAnsi="Symbol" w:hint="default"/>
        <w:sz w:val="22"/>
      </w:rPr>
    </w:lvl>
  </w:abstractNum>
  <w:num w:numId="1">
    <w:abstractNumId w:val="3"/>
  </w:num>
  <w:num w:numId="2">
    <w:abstractNumId w:val="3"/>
  </w:num>
  <w:num w:numId="3">
    <w:abstractNumId w:val="3"/>
  </w:num>
  <w:num w:numId="4">
    <w:abstractNumId w:val="3"/>
  </w:num>
  <w:num w:numId="5">
    <w:abstractNumId w:val="3"/>
  </w:num>
  <w:num w:numId="6">
    <w:abstractNumId w:val="17"/>
  </w:num>
  <w:num w:numId="7">
    <w:abstractNumId w:val="31"/>
  </w:num>
  <w:num w:numId="8">
    <w:abstractNumId w:val="4"/>
  </w:num>
  <w:num w:numId="9">
    <w:abstractNumId w:val="16"/>
  </w:num>
  <w:num w:numId="10">
    <w:abstractNumId w:val="2"/>
  </w:num>
  <w:num w:numId="11">
    <w:abstractNumId w:val="26"/>
  </w:num>
  <w:num w:numId="12">
    <w:abstractNumId w:val="12"/>
  </w:num>
  <w:num w:numId="13">
    <w:abstractNumId w:val="8"/>
  </w:num>
  <w:num w:numId="14">
    <w:abstractNumId w:val="24"/>
  </w:num>
  <w:num w:numId="15">
    <w:abstractNumId w:val="19"/>
  </w:num>
  <w:num w:numId="16">
    <w:abstractNumId w:val="26"/>
  </w:num>
  <w:num w:numId="17">
    <w:abstractNumId w:val="11"/>
  </w:num>
  <w:num w:numId="18">
    <w:abstractNumId w:val="21"/>
  </w:num>
  <w:num w:numId="19">
    <w:abstractNumId w:val="25"/>
  </w:num>
  <w:num w:numId="20">
    <w:abstractNumId w:val="7"/>
  </w:num>
  <w:num w:numId="21">
    <w:abstractNumId w:val="27"/>
  </w:num>
  <w:num w:numId="22">
    <w:abstractNumId w:val="10"/>
  </w:num>
  <w:num w:numId="23">
    <w:abstractNumId w:val="13"/>
  </w:num>
  <w:num w:numId="24">
    <w:abstractNumId w:val="26"/>
  </w:num>
  <w:num w:numId="25">
    <w:abstractNumId w:val="30"/>
  </w:num>
  <w:num w:numId="26">
    <w:abstractNumId w:val="20"/>
  </w:num>
  <w:num w:numId="27">
    <w:abstractNumId w:val="7"/>
  </w:num>
  <w:num w:numId="28">
    <w:abstractNumId w:val="6"/>
  </w:num>
  <w:num w:numId="29">
    <w:abstractNumId w:val="18"/>
  </w:num>
  <w:num w:numId="30">
    <w:abstractNumId w:val="15"/>
  </w:num>
  <w:num w:numId="31">
    <w:abstractNumId w:val="23"/>
  </w:num>
  <w:num w:numId="32">
    <w:abstractNumId w:val="23"/>
  </w:num>
  <w:num w:numId="33">
    <w:abstractNumId w:val="29"/>
  </w:num>
  <w:num w:numId="34">
    <w:abstractNumId w:val="5"/>
  </w:num>
  <w:num w:numId="35">
    <w:abstractNumId w:val="1"/>
  </w:num>
  <w:num w:numId="36">
    <w:abstractNumId w:val="0"/>
  </w:num>
  <w:num w:numId="37">
    <w:abstractNumId w:val="9"/>
  </w:num>
  <w:num w:numId="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formatting="1" w:enforcement="0"/>
  <w:defaultTabStop w:val="720"/>
  <w:evenAndOddHeaders/>
  <w:displayHorizontalDrawingGridEvery w:val="0"/>
  <w:displayVerticalDrawingGridEvery w:val="0"/>
  <w:doNotUseMarginsForDrawingGridOrigin/>
  <w:noPunctuationKerning/>
  <w:characterSpacingControl w:val="doNotCompress"/>
  <w:hdrShapeDefaults>
    <o:shapedefaults v:ext="edit" spidmax="74753">
      <o:colormru v:ext="edit" colors="#fdb913,#005447"/>
      <o:colormenu v:ext="edit" fillcolor="#005447" stroke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47B"/>
    <w:rsid w:val="00000C9E"/>
    <w:rsid w:val="00012C9C"/>
    <w:rsid w:val="00015376"/>
    <w:rsid w:val="00044375"/>
    <w:rsid w:val="00044A14"/>
    <w:rsid w:val="00046E89"/>
    <w:rsid w:val="00052350"/>
    <w:rsid w:val="000557B2"/>
    <w:rsid w:val="000605CD"/>
    <w:rsid w:val="00063F89"/>
    <w:rsid w:val="00066DAB"/>
    <w:rsid w:val="000675A0"/>
    <w:rsid w:val="00076AC3"/>
    <w:rsid w:val="00081A7F"/>
    <w:rsid w:val="0008438B"/>
    <w:rsid w:val="000923CD"/>
    <w:rsid w:val="00092EFA"/>
    <w:rsid w:val="000940F8"/>
    <w:rsid w:val="00097C01"/>
    <w:rsid w:val="000B5154"/>
    <w:rsid w:val="000C7401"/>
    <w:rsid w:val="000D0D1F"/>
    <w:rsid w:val="000D4C20"/>
    <w:rsid w:val="000F6E28"/>
    <w:rsid w:val="00101AD0"/>
    <w:rsid w:val="0010360C"/>
    <w:rsid w:val="00115D82"/>
    <w:rsid w:val="00117C2B"/>
    <w:rsid w:val="00121818"/>
    <w:rsid w:val="001350F8"/>
    <w:rsid w:val="00162FE3"/>
    <w:rsid w:val="00174D1B"/>
    <w:rsid w:val="00177C7A"/>
    <w:rsid w:val="00185CEB"/>
    <w:rsid w:val="00193E1C"/>
    <w:rsid w:val="00193F36"/>
    <w:rsid w:val="001B1981"/>
    <w:rsid w:val="001B5B3B"/>
    <w:rsid w:val="001B6740"/>
    <w:rsid w:val="001B7B52"/>
    <w:rsid w:val="001C5776"/>
    <w:rsid w:val="001D3887"/>
    <w:rsid w:val="001D6448"/>
    <w:rsid w:val="001D6E7E"/>
    <w:rsid w:val="001E51D0"/>
    <w:rsid w:val="0020484E"/>
    <w:rsid w:val="00207B8A"/>
    <w:rsid w:val="00231D6D"/>
    <w:rsid w:val="002425EA"/>
    <w:rsid w:val="002551B2"/>
    <w:rsid w:val="0025606C"/>
    <w:rsid w:val="002604CD"/>
    <w:rsid w:val="00264235"/>
    <w:rsid w:val="00267E51"/>
    <w:rsid w:val="002855DC"/>
    <w:rsid w:val="00287C78"/>
    <w:rsid w:val="00290D24"/>
    <w:rsid w:val="002A28D1"/>
    <w:rsid w:val="002A4D2C"/>
    <w:rsid w:val="002A6A6A"/>
    <w:rsid w:val="002B426F"/>
    <w:rsid w:val="002C5788"/>
    <w:rsid w:val="002C63E2"/>
    <w:rsid w:val="002D208F"/>
    <w:rsid w:val="002E629B"/>
    <w:rsid w:val="002F5F0F"/>
    <w:rsid w:val="003035B7"/>
    <w:rsid w:val="00304182"/>
    <w:rsid w:val="003117AA"/>
    <w:rsid w:val="00313DA6"/>
    <w:rsid w:val="0031464B"/>
    <w:rsid w:val="00323C9D"/>
    <w:rsid w:val="00333806"/>
    <w:rsid w:val="00337294"/>
    <w:rsid w:val="00340889"/>
    <w:rsid w:val="00343D62"/>
    <w:rsid w:val="00344267"/>
    <w:rsid w:val="00367A7A"/>
    <w:rsid w:val="003700E9"/>
    <w:rsid w:val="0038766D"/>
    <w:rsid w:val="003C63CF"/>
    <w:rsid w:val="003D02BF"/>
    <w:rsid w:val="003D44C9"/>
    <w:rsid w:val="003E31BD"/>
    <w:rsid w:val="003E4E01"/>
    <w:rsid w:val="003F258C"/>
    <w:rsid w:val="00400023"/>
    <w:rsid w:val="00400029"/>
    <w:rsid w:val="00400FD0"/>
    <w:rsid w:val="004048FA"/>
    <w:rsid w:val="00414A95"/>
    <w:rsid w:val="004348A5"/>
    <w:rsid w:val="004412A2"/>
    <w:rsid w:val="0044691F"/>
    <w:rsid w:val="004478CC"/>
    <w:rsid w:val="00471C3D"/>
    <w:rsid w:val="00474A65"/>
    <w:rsid w:val="00474D78"/>
    <w:rsid w:val="00475381"/>
    <w:rsid w:val="00482732"/>
    <w:rsid w:val="004835FE"/>
    <w:rsid w:val="00485C0B"/>
    <w:rsid w:val="00492727"/>
    <w:rsid w:val="00495B90"/>
    <w:rsid w:val="00497FD8"/>
    <w:rsid w:val="004A5B4F"/>
    <w:rsid w:val="004A6EAD"/>
    <w:rsid w:val="004B2445"/>
    <w:rsid w:val="004C254B"/>
    <w:rsid w:val="004C51C1"/>
    <w:rsid w:val="004D113D"/>
    <w:rsid w:val="004D1673"/>
    <w:rsid w:val="004F452C"/>
    <w:rsid w:val="0050492A"/>
    <w:rsid w:val="0052013F"/>
    <w:rsid w:val="0052102A"/>
    <w:rsid w:val="00562401"/>
    <w:rsid w:val="0057174E"/>
    <w:rsid w:val="00587785"/>
    <w:rsid w:val="00592333"/>
    <w:rsid w:val="00596C86"/>
    <w:rsid w:val="005A2B3B"/>
    <w:rsid w:val="005A4011"/>
    <w:rsid w:val="005F5921"/>
    <w:rsid w:val="005F7B4F"/>
    <w:rsid w:val="0060161E"/>
    <w:rsid w:val="006029C3"/>
    <w:rsid w:val="0060668B"/>
    <w:rsid w:val="00610632"/>
    <w:rsid w:val="0063707E"/>
    <w:rsid w:val="0063762B"/>
    <w:rsid w:val="006403FA"/>
    <w:rsid w:val="0065384F"/>
    <w:rsid w:val="006712E6"/>
    <w:rsid w:val="006822A7"/>
    <w:rsid w:val="00682345"/>
    <w:rsid w:val="00696891"/>
    <w:rsid w:val="006A1E77"/>
    <w:rsid w:val="006A4F72"/>
    <w:rsid w:val="006A6DA7"/>
    <w:rsid w:val="006B74DF"/>
    <w:rsid w:val="006C352F"/>
    <w:rsid w:val="006C57DB"/>
    <w:rsid w:val="006C65ED"/>
    <w:rsid w:val="006D0580"/>
    <w:rsid w:val="006F146F"/>
    <w:rsid w:val="006F6D2B"/>
    <w:rsid w:val="0070198B"/>
    <w:rsid w:val="00703CEE"/>
    <w:rsid w:val="007075EB"/>
    <w:rsid w:val="0071718C"/>
    <w:rsid w:val="00720878"/>
    <w:rsid w:val="00722B0C"/>
    <w:rsid w:val="0074189F"/>
    <w:rsid w:val="00743021"/>
    <w:rsid w:val="007545D0"/>
    <w:rsid w:val="00786686"/>
    <w:rsid w:val="007869B3"/>
    <w:rsid w:val="007878CA"/>
    <w:rsid w:val="00795E94"/>
    <w:rsid w:val="007B49D1"/>
    <w:rsid w:val="007B752C"/>
    <w:rsid w:val="007C06D6"/>
    <w:rsid w:val="007E14B0"/>
    <w:rsid w:val="007E7494"/>
    <w:rsid w:val="00812DAD"/>
    <w:rsid w:val="00815007"/>
    <w:rsid w:val="008157D4"/>
    <w:rsid w:val="00816174"/>
    <w:rsid w:val="0082446C"/>
    <w:rsid w:val="0083069D"/>
    <w:rsid w:val="00841596"/>
    <w:rsid w:val="00844B86"/>
    <w:rsid w:val="008539BF"/>
    <w:rsid w:val="00856076"/>
    <w:rsid w:val="00856B4A"/>
    <w:rsid w:val="00866F96"/>
    <w:rsid w:val="008745B1"/>
    <w:rsid w:val="008832E6"/>
    <w:rsid w:val="008A2739"/>
    <w:rsid w:val="008A6C96"/>
    <w:rsid w:val="008B0608"/>
    <w:rsid w:val="008B34A6"/>
    <w:rsid w:val="008B4A3D"/>
    <w:rsid w:val="008B6C6E"/>
    <w:rsid w:val="008C0F11"/>
    <w:rsid w:val="008D5155"/>
    <w:rsid w:val="008E5187"/>
    <w:rsid w:val="008E6C1B"/>
    <w:rsid w:val="008F5E75"/>
    <w:rsid w:val="00901BC5"/>
    <w:rsid w:val="009110D4"/>
    <w:rsid w:val="00912671"/>
    <w:rsid w:val="00922305"/>
    <w:rsid w:val="00923408"/>
    <w:rsid w:val="009303F7"/>
    <w:rsid w:val="00937E0F"/>
    <w:rsid w:val="0094123A"/>
    <w:rsid w:val="00943819"/>
    <w:rsid w:val="00960323"/>
    <w:rsid w:val="00973607"/>
    <w:rsid w:val="00974C03"/>
    <w:rsid w:val="009770AE"/>
    <w:rsid w:val="00987142"/>
    <w:rsid w:val="009A5A90"/>
    <w:rsid w:val="009B04EA"/>
    <w:rsid w:val="009B24D4"/>
    <w:rsid w:val="009D4882"/>
    <w:rsid w:val="009D78E1"/>
    <w:rsid w:val="009E1541"/>
    <w:rsid w:val="009E44F6"/>
    <w:rsid w:val="009E7598"/>
    <w:rsid w:val="009F31AF"/>
    <w:rsid w:val="009F7988"/>
    <w:rsid w:val="009F7A2D"/>
    <w:rsid w:val="00A25E9E"/>
    <w:rsid w:val="00A27A60"/>
    <w:rsid w:val="00A3331E"/>
    <w:rsid w:val="00A37EB7"/>
    <w:rsid w:val="00A43C12"/>
    <w:rsid w:val="00A84C22"/>
    <w:rsid w:val="00A93E80"/>
    <w:rsid w:val="00A95671"/>
    <w:rsid w:val="00AA1FFF"/>
    <w:rsid w:val="00AA640B"/>
    <w:rsid w:val="00AC03BD"/>
    <w:rsid w:val="00AC3305"/>
    <w:rsid w:val="00AD047B"/>
    <w:rsid w:val="00AD23A4"/>
    <w:rsid w:val="00AE22B1"/>
    <w:rsid w:val="00B03188"/>
    <w:rsid w:val="00B03CA3"/>
    <w:rsid w:val="00B04DF0"/>
    <w:rsid w:val="00B05BD5"/>
    <w:rsid w:val="00B1113A"/>
    <w:rsid w:val="00B222CF"/>
    <w:rsid w:val="00B31EA0"/>
    <w:rsid w:val="00B36101"/>
    <w:rsid w:val="00B37CC4"/>
    <w:rsid w:val="00B47468"/>
    <w:rsid w:val="00B541E2"/>
    <w:rsid w:val="00B72DD3"/>
    <w:rsid w:val="00B907F4"/>
    <w:rsid w:val="00B93FA6"/>
    <w:rsid w:val="00BA11ED"/>
    <w:rsid w:val="00BC43BB"/>
    <w:rsid w:val="00BF7C7F"/>
    <w:rsid w:val="00C12EBC"/>
    <w:rsid w:val="00C1350F"/>
    <w:rsid w:val="00C23B1F"/>
    <w:rsid w:val="00C401D2"/>
    <w:rsid w:val="00C4503E"/>
    <w:rsid w:val="00C4791F"/>
    <w:rsid w:val="00C57E79"/>
    <w:rsid w:val="00C60C7F"/>
    <w:rsid w:val="00C627FD"/>
    <w:rsid w:val="00C6591E"/>
    <w:rsid w:val="00C670EE"/>
    <w:rsid w:val="00C70A6B"/>
    <w:rsid w:val="00C71FB1"/>
    <w:rsid w:val="00C743B6"/>
    <w:rsid w:val="00C80D52"/>
    <w:rsid w:val="00C8310C"/>
    <w:rsid w:val="00C9234B"/>
    <w:rsid w:val="00C9605D"/>
    <w:rsid w:val="00C97BB7"/>
    <w:rsid w:val="00CA147C"/>
    <w:rsid w:val="00CA5076"/>
    <w:rsid w:val="00CB060A"/>
    <w:rsid w:val="00CB388E"/>
    <w:rsid w:val="00CD1EF0"/>
    <w:rsid w:val="00CD4234"/>
    <w:rsid w:val="00CE0BD0"/>
    <w:rsid w:val="00CE3C36"/>
    <w:rsid w:val="00CF7233"/>
    <w:rsid w:val="00D15C11"/>
    <w:rsid w:val="00D17A4E"/>
    <w:rsid w:val="00D241D1"/>
    <w:rsid w:val="00D274A2"/>
    <w:rsid w:val="00D42C04"/>
    <w:rsid w:val="00D44505"/>
    <w:rsid w:val="00D64EDF"/>
    <w:rsid w:val="00D7570F"/>
    <w:rsid w:val="00D7586B"/>
    <w:rsid w:val="00DA1631"/>
    <w:rsid w:val="00DA35EB"/>
    <w:rsid w:val="00DA3D73"/>
    <w:rsid w:val="00DA5BA1"/>
    <w:rsid w:val="00DA5C60"/>
    <w:rsid w:val="00DC1C6A"/>
    <w:rsid w:val="00DD193B"/>
    <w:rsid w:val="00DD4870"/>
    <w:rsid w:val="00DE142F"/>
    <w:rsid w:val="00DE54C9"/>
    <w:rsid w:val="00DE5B27"/>
    <w:rsid w:val="00DE71E5"/>
    <w:rsid w:val="00E049FF"/>
    <w:rsid w:val="00E05B29"/>
    <w:rsid w:val="00E1391D"/>
    <w:rsid w:val="00E22300"/>
    <w:rsid w:val="00E368AC"/>
    <w:rsid w:val="00E3743A"/>
    <w:rsid w:val="00E44D2D"/>
    <w:rsid w:val="00E8057E"/>
    <w:rsid w:val="00E877EE"/>
    <w:rsid w:val="00EA15DD"/>
    <w:rsid w:val="00EB2715"/>
    <w:rsid w:val="00EB2FF5"/>
    <w:rsid w:val="00EB3B02"/>
    <w:rsid w:val="00EB4643"/>
    <w:rsid w:val="00ED1A9F"/>
    <w:rsid w:val="00EF1ABA"/>
    <w:rsid w:val="00EF1C8E"/>
    <w:rsid w:val="00EF2383"/>
    <w:rsid w:val="00F0072C"/>
    <w:rsid w:val="00F0105B"/>
    <w:rsid w:val="00F020EF"/>
    <w:rsid w:val="00F05F63"/>
    <w:rsid w:val="00F11667"/>
    <w:rsid w:val="00F32AB0"/>
    <w:rsid w:val="00F34D44"/>
    <w:rsid w:val="00F36EB9"/>
    <w:rsid w:val="00F466BD"/>
    <w:rsid w:val="00F57AB0"/>
    <w:rsid w:val="00F627D7"/>
    <w:rsid w:val="00F66098"/>
    <w:rsid w:val="00F85CAF"/>
    <w:rsid w:val="00FB3425"/>
    <w:rsid w:val="00FD63C6"/>
    <w:rsid w:val="00FD6831"/>
    <w:rsid w:val="00FE05DD"/>
    <w:rsid w:val="00FE7047"/>
    <w:rsid w:val="00FF5B1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4753">
      <o:colormru v:ext="edit" colors="#fdb913,#005447"/>
      <o:colormenu v:ext="edit" fillcolor="#005447" strokecolor="none"/>
    </o:shapedefaults>
    <o:shapelayout v:ext="edit">
      <o:idmap v:ext="edit" data="1"/>
    </o:shapelayout>
  </w:shapeDefaults>
  <w:decimalSymbol w:val="."/>
  <w:listSeparator w:val=","/>
  <w14:docId w14:val="34510661"/>
  <w15:chartTrackingRefBased/>
  <w15:docId w15:val="{CC151401-1781-4069-88B0-AC1F33664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uiPriority="39"/>
    <w:lsdException w:name="toc 2" w:uiPriority="39"/>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uiPriority="99"/>
    <w:lsdException w:name="header" w:uiPriority="99"/>
    <w:lsdException w:name="caption" w:locked="1" w:semiHidden="1" w:unhideWhenUsed="1" w:qFormat="1"/>
    <w:lsdException w:name="envelope address" w:locked="1"/>
    <w:lsdException w:name="envelope return" w:locked="1"/>
    <w:lsdException w:name="footnote reference" w:uiPriority="99"/>
    <w:lsdException w:name="line number" w:locked="1"/>
    <w:lsdException w:name="macro" w:locked="1"/>
    <w:lsdException w:name="List 3" w:locked="1"/>
    <w:lsdException w:name="List 4" w:locked="1"/>
    <w:lsdException w:name="List 5" w:locked="1"/>
    <w:lsdException w:name="List Bullet 3" w:locked="1"/>
    <w:lsdException w:name="List Bullet 4" w:locked="1"/>
    <w:lsdException w:name="List Bullet 5" w:locked="1"/>
    <w:lsdException w:name="List Number 3" w:locked="1"/>
    <w:lsdException w:name="List Number 4" w:locked="1"/>
    <w:lsdException w:name="List Number 5" w:locked="1"/>
    <w:lsdException w:name="Title" w:qFormat="1"/>
    <w:lsdException w:name="Closing" w:locked="1"/>
    <w:lsdException w:name="Signature"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Body Text First Indent" w:locked="1"/>
    <w:lsdException w:name="Body Text First Indent 2" w:locked="1"/>
    <w:lsdException w:name="Body Text 2" w:locked="1"/>
    <w:lsdException w:name="Body Text Indent 2" w:locked="1"/>
    <w:lsdException w:name="Body Text Indent 3" w:locked="1"/>
    <w:lsdException w:name="Block Text" w:locked="1"/>
    <w:lsdException w:name="Hyperlink" w:uiPriority="99"/>
    <w:lsdException w:name="Strong" w:locked="1" w:qFormat="1"/>
    <w:lsdException w:name="Emphasis" w:locked="1" w:qFormat="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semiHidden="1" w:unhideWhenUs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paragraph" w:styleId="Heading1">
    <w:name w:val="heading 1"/>
    <w:next w:val="Normal"/>
    <w:qFormat/>
    <w:rsid w:val="00D7586B"/>
    <w:pPr>
      <w:keepNext/>
      <w:numPr>
        <w:numId w:val="37"/>
      </w:numPr>
      <w:spacing w:before="240" w:after="60"/>
      <w:outlineLvl w:val="0"/>
    </w:pPr>
    <w:rPr>
      <w:rFonts w:ascii="Arial Narrow" w:hAnsi="Arial Narrow"/>
      <w:b/>
      <w:kern w:val="28"/>
      <w:sz w:val="36"/>
      <w:lang w:eastAsia="en-US"/>
    </w:rPr>
  </w:style>
  <w:style w:type="paragraph" w:styleId="Heading2">
    <w:name w:val="heading 2"/>
    <w:basedOn w:val="Heading1"/>
    <w:next w:val="Normal"/>
    <w:qFormat/>
    <w:rsid w:val="00D7586B"/>
    <w:pPr>
      <w:numPr>
        <w:ilvl w:val="1"/>
      </w:numPr>
      <w:outlineLvl w:val="1"/>
    </w:pPr>
    <w:rPr>
      <w:caps/>
      <w:sz w:val="28"/>
    </w:rPr>
  </w:style>
  <w:style w:type="paragraph" w:styleId="Heading3">
    <w:name w:val="heading 3"/>
    <w:basedOn w:val="Heading2"/>
    <w:next w:val="Normal"/>
    <w:qFormat/>
    <w:rsid w:val="00D7586B"/>
    <w:pPr>
      <w:numPr>
        <w:ilvl w:val="2"/>
      </w:numPr>
      <w:outlineLvl w:val="2"/>
    </w:pPr>
    <w:rPr>
      <w:caps w:val="0"/>
      <w:sz w:val="24"/>
    </w:rPr>
  </w:style>
  <w:style w:type="paragraph" w:styleId="Heading4">
    <w:name w:val="heading 4"/>
    <w:basedOn w:val="Normal"/>
    <w:next w:val="Normal"/>
    <w:qFormat/>
    <w:rsid w:val="00D7586B"/>
    <w:pPr>
      <w:keepNext/>
      <w:spacing w:before="240" w:after="60"/>
      <w:outlineLvl w:val="3"/>
    </w:pPr>
    <w:rPr>
      <w:rFonts w:ascii="Arial Narrow" w:hAnsi="Arial Narrow"/>
      <w:i/>
    </w:rPr>
  </w:style>
  <w:style w:type="paragraph" w:styleId="Heading5">
    <w:name w:val="heading 5"/>
    <w:basedOn w:val="Normal"/>
    <w:next w:val="Normal"/>
    <w:link w:val="Heading5Char"/>
    <w:semiHidden/>
    <w:unhideWhenUsed/>
    <w:qFormat/>
    <w:locked/>
    <w:rsid w:val="00D7586B"/>
    <w:pPr>
      <w:numPr>
        <w:ilvl w:val="4"/>
        <w:numId w:val="37"/>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locked/>
    <w:rsid w:val="00D7586B"/>
    <w:pPr>
      <w:numPr>
        <w:ilvl w:val="5"/>
        <w:numId w:val="37"/>
      </w:num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locked/>
    <w:rsid w:val="00D7586B"/>
    <w:pPr>
      <w:numPr>
        <w:ilvl w:val="6"/>
        <w:numId w:val="37"/>
      </w:numPr>
      <w:spacing w:before="240" w:after="60"/>
      <w:outlineLvl w:val="6"/>
    </w:pPr>
    <w:rPr>
      <w:rFonts w:ascii="Calibri" w:hAnsi="Calibri"/>
      <w:szCs w:val="24"/>
    </w:rPr>
  </w:style>
  <w:style w:type="paragraph" w:styleId="Heading8">
    <w:name w:val="heading 8"/>
    <w:basedOn w:val="Normal"/>
    <w:next w:val="Normal"/>
    <w:link w:val="Heading8Char"/>
    <w:semiHidden/>
    <w:unhideWhenUsed/>
    <w:qFormat/>
    <w:locked/>
    <w:rsid w:val="00D7586B"/>
    <w:pPr>
      <w:numPr>
        <w:ilvl w:val="7"/>
        <w:numId w:val="37"/>
      </w:numPr>
      <w:spacing w:before="240" w:after="60"/>
      <w:outlineLvl w:val="7"/>
    </w:pPr>
    <w:rPr>
      <w:rFonts w:ascii="Calibri" w:hAnsi="Calibri"/>
      <w:i/>
      <w:iCs/>
      <w:szCs w:val="24"/>
    </w:rPr>
  </w:style>
  <w:style w:type="paragraph" w:styleId="Heading9">
    <w:name w:val="heading 9"/>
    <w:basedOn w:val="Normal"/>
    <w:next w:val="Normal"/>
    <w:link w:val="Heading9Char"/>
    <w:semiHidden/>
    <w:unhideWhenUsed/>
    <w:qFormat/>
    <w:locked/>
    <w:rsid w:val="00D7586B"/>
    <w:pPr>
      <w:numPr>
        <w:ilvl w:val="8"/>
        <w:numId w:val="37"/>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entsHeadingLevel1">
    <w:name w:val="Contents Heading Level 1"/>
    <w:basedOn w:val="Normal"/>
    <w:rPr>
      <w:b/>
    </w:rPr>
  </w:style>
  <w:style w:type="paragraph" w:customStyle="1" w:styleId="ContentsHeadingLevel2">
    <w:name w:val="Contents Heading Level 2"/>
    <w:basedOn w:val="Normal"/>
  </w:style>
  <w:style w:type="paragraph" w:customStyle="1" w:styleId="ContentsHeadingLevel3">
    <w:name w:val="Contents Heading Level 3"/>
    <w:basedOn w:val="Normal"/>
    <w:pPr>
      <w:ind w:left="284"/>
    </w:pPr>
    <w:rPr>
      <w:sz w:val="20"/>
    </w:rPr>
  </w:style>
  <w:style w:type="paragraph" w:customStyle="1" w:styleId="ContentsPageNo">
    <w:name w:val="Contents Page No."/>
    <w:basedOn w:val="Normal"/>
    <w:pPr>
      <w:ind w:left="2552" w:right="3119"/>
    </w:pPr>
  </w:style>
  <w:style w:type="paragraph" w:styleId="FootnoteText">
    <w:name w:val="footnote text"/>
    <w:basedOn w:val="Normal"/>
    <w:link w:val="FootnoteTextChar"/>
    <w:uiPriority w:val="99"/>
    <w:rPr>
      <w:sz w:val="16"/>
    </w:rPr>
  </w:style>
  <w:style w:type="paragraph" w:styleId="ListBullet">
    <w:name w:val="List Bullet"/>
    <w:basedOn w:val="Normal"/>
    <w:autoRedefine/>
    <w:pPr>
      <w:numPr>
        <w:numId w:val="26"/>
      </w:numPr>
    </w:pPr>
  </w:style>
  <w:style w:type="paragraph" w:customStyle="1" w:styleId="PageNo">
    <w:name w:val="Page No."/>
    <w:basedOn w:val="Normal"/>
    <w:pPr>
      <w:ind w:left="2552" w:right="3119"/>
    </w:pPr>
  </w:style>
  <w:style w:type="paragraph" w:customStyle="1" w:styleId="TableColumnHeadings">
    <w:name w:val="Table Column Headings"/>
    <w:basedOn w:val="Normal"/>
    <w:rsid w:val="00231D6D"/>
    <w:pPr>
      <w:spacing w:before="60" w:after="60"/>
    </w:pPr>
    <w:rPr>
      <w:rFonts w:ascii="Arial Narrow" w:hAnsi="Arial Narrow"/>
      <w:b/>
      <w:sz w:val="20"/>
    </w:rPr>
  </w:style>
  <w:style w:type="paragraph" w:customStyle="1" w:styleId="TableMainTitle">
    <w:name w:val="Table Main Title"/>
    <w:basedOn w:val="Normal"/>
    <w:rsid w:val="009D78E1"/>
    <w:rPr>
      <w:rFonts w:ascii="Arial Narrow" w:hAnsi="Arial Narrow"/>
      <w:b/>
    </w:rPr>
  </w:style>
  <w:style w:type="paragraph" w:customStyle="1" w:styleId="TableNote">
    <w:name w:val="Table Note"/>
    <w:basedOn w:val="Normal"/>
    <w:rPr>
      <w:rFonts w:ascii="Arial Narrow" w:hAnsi="Arial Narrow"/>
      <w:sz w:val="16"/>
    </w:rPr>
  </w:style>
  <w:style w:type="paragraph" w:customStyle="1" w:styleId="TableSource">
    <w:name w:val="Table Source"/>
    <w:basedOn w:val="Normal"/>
    <w:locked/>
    <w:pPr>
      <w:jc w:val="right"/>
    </w:pPr>
    <w:rPr>
      <w:i/>
      <w:sz w:val="16"/>
    </w:rPr>
  </w:style>
  <w:style w:type="paragraph" w:customStyle="1" w:styleId="TableTotals">
    <w:name w:val="Table Totals"/>
    <w:basedOn w:val="Normal"/>
    <w:rPr>
      <w:rFonts w:ascii="Arial Narrow" w:hAnsi="Arial Narrow"/>
      <w:b/>
      <w:sz w:val="20"/>
    </w:rPr>
  </w:style>
  <w:style w:type="paragraph" w:customStyle="1" w:styleId="TablesText">
    <w:name w:val="Tables Text"/>
    <w:basedOn w:val="Normal"/>
    <w:rPr>
      <w:rFonts w:ascii="Arial Narrow" w:hAnsi="Arial Narrow"/>
      <w:sz w:val="20"/>
    </w:rPr>
  </w:style>
  <w:style w:type="paragraph" w:customStyle="1" w:styleId="Contents">
    <w:name w:val="Contents"/>
    <w:basedOn w:val="Normal"/>
    <w:rsid w:val="00231D6D"/>
    <w:pPr>
      <w:pBdr>
        <w:bottom w:val="single" w:sz="4" w:space="1" w:color="auto"/>
      </w:pBdr>
      <w:tabs>
        <w:tab w:val="right" w:pos="9071"/>
      </w:tabs>
    </w:pPr>
    <w:rPr>
      <w:rFonts w:ascii="Arial Narrow" w:hAnsi="Arial Narrow"/>
      <w:b/>
      <w:sz w:val="36"/>
    </w:rPr>
  </w:style>
  <w:style w:type="paragraph" w:customStyle="1" w:styleId="Textonaxes">
    <w:name w:val="Text (on axes"/>
    <w:aliases w:val="data lables)"/>
    <w:basedOn w:val="Normal"/>
    <w:locked/>
    <w:rPr>
      <w:rFonts w:ascii="Arial Narrow" w:hAnsi="Arial Narrow"/>
      <w:sz w:val="16"/>
    </w:rPr>
  </w:style>
  <w:style w:type="paragraph" w:customStyle="1" w:styleId="Axestitles">
    <w:name w:val="Axes titles"/>
    <w:basedOn w:val="Normal"/>
    <w:semiHidden/>
    <w:locked/>
    <w:rPr>
      <w:rFonts w:ascii="Arial Narrow" w:hAnsi="Arial Narrow"/>
      <w:b/>
      <w:sz w:val="16"/>
    </w:rPr>
  </w:style>
  <w:style w:type="paragraph" w:customStyle="1" w:styleId="FaxHeader">
    <w:name w:val="FaxHeader"/>
    <w:semiHidden/>
    <w:locked/>
    <w:pPr>
      <w:tabs>
        <w:tab w:val="left" w:pos="4800"/>
      </w:tabs>
      <w:spacing w:before="60" w:after="60"/>
      <w:ind w:left="1599" w:hanging="1599"/>
    </w:pPr>
    <w:rPr>
      <w:rFonts w:ascii="Arial" w:hAnsi="Arial"/>
      <w:sz w:val="24"/>
      <w:lang w:val="en-GB" w:eastAsia="en-US"/>
    </w:rPr>
  </w:style>
  <w:style w:type="paragraph" w:styleId="Footer">
    <w:name w:val="footer"/>
    <w:basedOn w:val="Normal"/>
    <w:rsid w:val="00C57E79"/>
    <w:pPr>
      <w:tabs>
        <w:tab w:val="center" w:pos="4320"/>
        <w:tab w:val="right" w:pos="8640"/>
      </w:tabs>
    </w:pPr>
    <w:rPr>
      <w:rFonts w:ascii="Arial Narrow" w:hAnsi="Arial Narrow"/>
      <w:sz w:val="18"/>
    </w:rPr>
  </w:style>
  <w:style w:type="paragraph" w:styleId="Header">
    <w:name w:val="header"/>
    <w:basedOn w:val="Normal"/>
    <w:link w:val="HeaderChar"/>
    <w:uiPriority w:val="99"/>
    <w:pPr>
      <w:tabs>
        <w:tab w:val="center" w:pos="4320"/>
        <w:tab w:val="right" w:pos="8640"/>
      </w:tabs>
    </w:pPr>
  </w:style>
  <w:style w:type="paragraph" w:customStyle="1" w:styleId="Page">
    <w:name w:val="Page"/>
    <w:basedOn w:val="Normal"/>
    <w:rsid w:val="00231D6D"/>
  </w:style>
  <w:style w:type="character" w:styleId="PageNumber">
    <w:name w:val="page number"/>
    <w:basedOn w:val="DefaultParagraphFont"/>
    <w:rsid w:val="00C57E79"/>
    <w:rPr>
      <w:rFonts w:ascii="Arial Narrow" w:hAnsi="Arial Narrow"/>
      <w:sz w:val="18"/>
    </w:rPr>
  </w:style>
  <w:style w:type="paragraph" w:styleId="BodyText3">
    <w:name w:val="Body Text 3"/>
    <w:basedOn w:val="Normal"/>
    <w:semiHidden/>
    <w:locked/>
    <w:pPr>
      <w:ind w:right="1395"/>
    </w:pPr>
  </w:style>
  <w:style w:type="paragraph" w:styleId="BodyText">
    <w:name w:val="Body Text"/>
    <w:basedOn w:val="Normal"/>
    <w:semiHidden/>
    <w:locked/>
    <w:pPr>
      <w:ind w:left="567"/>
      <w:jc w:val="both"/>
    </w:pPr>
  </w:style>
  <w:style w:type="paragraph" w:customStyle="1" w:styleId="BlockQuotation">
    <w:name w:val="Block Quotation"/>
    <w:basedOn w:val="BodyText"/>
    <w:semiHidden/>
    <w:locked/>
    <w:pPr>
      <w:keepLines/>
      <w:spacing w:line="220" w:lineRule="atLeast"/>
      <w:ind w:left="1440" w:right="720"/>
    </w:pPr>
    <w:rPr>
      <w:i/>
      <w:lang w:val="en-US"/>
    </w:rPr>
  </w:style>
  <w:style w:type="paragraph" w:styleId="TOC1">
    <w:name w:val="toc 1"/>
    <w:basedOn w:val="Normal"/>
    <w:uiPriority w:val="39"/>
    <w:locked/>
    <w:rsid w:val="00FE7047"/>
    <w:pPr>
      <w:tabs>
        <w:tab w:val="right" w:pos="9072"/>
      </w:tabs>
      <w:spacing w:before="240"/>
      <w:ind w:left="567" w:hanging="567"/>
    </w:pPr>
    <w:rPr>
      <w:rFonts w:ascii="Arial Narrow" w:hAnsi="Arial Narrow"/>
      <w:b/>
      <w:noProof/>
    </w:rPr>
  </w:style>
  <w:style w:type="paragraph" w:styleId="TOC2">
    <w:name w:val="toc 2"/>
    <w:basedOn w:val="TOC1"/>
    <w:uiPriority w:val="39"/>
    <w:locked/>
    <w:rsid w:val="008B34A6"/>
    <w:pPr>
      <w:spacing w:before="0"/>
    </w:pPr>
    <w:rPr>
      <w:b w:val="0"/>
    </w:rPr>
  </w:style>
  <w:style w:type="paragraph" w:customStyle="1" w:styleId="FootnoteBase">
    <w:name w:val="Footnote Base"/>
    <w:basedOn w:val="Normal"/>
    <w:rsid w:val="00231D6D"/>
    <w:pPr>
      <w:spacing w:before="240"/>
    </w:pPr>
    <w:rPr>
      <w:sz w:val="18"/>
    </w:rPr>
  </w:style>
  <w:style w:type="paragraph" w:styleId="ListNumber">
    <w:name w:val="List Number"/>
    <w:basedOn w:val="List"/>
    <w:rsid w:val="00C1350F"/>
    <w:pPr>
      <w:numPr>
        <w:numId w:val="24"/>
      </w:numPr>
      <w:tabs>
        <w:tab w:val="clear" w:pos="1778"/>
      </w:tabs>
      <w:ind w:left="425" w:hanging="425"/>
    </w:pPr>
  </w:style>
  <w:style w:type="paragraph" w:styleId="List">
    <w:name w:val="List"/>
    <w:basedOn w:val="Normal"/>
    <w:pPr>
      <w:ind w:left="283" w:hanging="283"/>
    </w:pPr>
  </w:style>
  <w:style w:type="paragraph" w:styleId="Index1">
    <w:name w:val="index 1"/>
    <w:basedOn w:val="Normal"/>
    <w:next w:val="Normal"/>
    <w:autoRedefine/>
    <w:semiHidden/>
    <w:locked/>
    <w:pPr>
      <w:ind w:left="240" w:hanging="240"/>
    </w:pPr>
  </w:style>
  <w:style w:type="paragraph" w:styleId="Index2">
    <w:name w:val="index 2"/>
    <w:basedOn w:val="Normal"/>
    <w:next w:val="Normal"/>
    <w:autoRedefine/>
    <w:semiHidden/>
    <w:locked/>
    <w:pPr>
      <w:ind w:left="480" w:hanging="240"/>
    </w:pPr>
  </w:style>
  <w:style w:type="paragraph" w:styleId="Index3">
    <w:name w:val="index 3"/>
    <w:basedOn w:val="Normal"/>
    <w:next w:val="Normal"/>
    <w:autoRedefine/>
    <w:semiHidden/>
    <w:locked/>
    <w:pPr>
      <w:ind w:left="720" w:hanging="240"/>
    </w:pPr>
  </w:style>
  <w:style w:type="paragraph" w:styleId="Index4">
    <w:name w:val="index 4"/>
    <w:basedOn w:val="Normal"/>
    <w:next w:val="Normal"/>
    <w:autoRedefine/>
    <w:semiHidden/>
    <w:locked/>
    <w:pPr>
      <w:ind w:left="960" w:hanging="240"/>
    </w:pPr>
  </w:style>
  <w:style w:type="paragraph" w:styleId="Index5">
    <w:name w:val="index 5"/>
    <w:basedOn w:val="Normal"/>
    <w:next w:val="Normal"/>
    <w:autoRedefine/>
    <w:semiHidden/>
    <w:locked/>
    <w:pPr>
      <w:ind w:left="1200" w:hanging="240"/>
    </w:pPr>
  </w:style>
  <w:style w:type="paragraph" w:styleId="Index6">
    <w:name w:val="index 6"/>
    <w:basedOn w:val="Normal"/>
    <w:next w:val="Normal"/>
    <w:autoRedefine/>
    <w:semiHidden/>
    <w:locked/>
    <w:pPr>
      <w:ind w:left="1440" w:hanging="240"/>
    </w:pPr>
  </w:style>
  <w:style w:type="paragraph" w:styleId="Index7">
    <w:name w:val="index 7"/>
    <w:basedOn w:val="Normal"/>
    <w:next w:val="Normal"/>
    <w:autoRedefine/>
    <w:semiHidden/>
    <w:locked/>
    <w:pPr>
      <w:ind w:left="1680" w:hanging="240"/>
    </w:pPr>
  </w:style>
  <w:style w:type="paragraph" w:styleId="Index8">
    <w:name w:val="index 8"/>
    <w:basedOn w:val="Normal"/>
    <w:next w:val="Normal"/>
    <w:autoRedefine/>
    <w:semiHidden/>
    <w:locked/>
    <w:pPr>
      <w:ind w:left="1920" w:hanging="240"/>
    </w:pPr>
  </w:style>
  <w:style w:type="paragraph" w:styleId="Index9">
    <w:name w:val="index 9"/>
    <w:basedOn w:val="Normal"/>
    <w:next w:val="Normal"/>
    <w:autoRedefine/>
    <w:semiHidden/>
    <w:locked/>
    <w:pPr>
      <w:ind w:left="2160" w:hanging="240"/>
    </w:pPr>
  </w:style>
  <w:style w:type="paragraph" w:styleId="IndexHeading">
    <w:name w:val="index heading"/>
    <w:basedOn w:val="Normal"/>
    <w:next w:val="Index1"/>
    <w:semiHidden/>
    <w:locked/>
  </w:style>
  <w:style w:type="paragraph" w:customStyle="1" w:styleId="ReturnAddress">
    <w:name w:val="Return Address"/>
    <w:basedOn w:val="Normal"/>
    <w:pPr>
      <w:jc w:val="center"/>
    </w:pPr>
    <w:rPr>
      <w:spacing w:val="-3"/>
      <w:sz w:val="20"/>
      <w:lang w:val="en-AU"/>
    </w:rPr>
  </w:style>
  <w:style w:type="paragraph" w:customStyle="1" w:styleId="TOC20">
    <w:name w:val="TOC2"/>
    <w:basedOn w:val="TOC1"/>
    <w:rsid w:val="00C60C7F"/>
    <w:pPr>
      <w:spacing w:before="0"/>
    </w:pPr>
    <w:rPr>
      <w:b w:val="0"/>
    </w:rPr>
  </w:style>
  <w:style w:type="paragraph" w:customStyle="1" w:styleId="TOC10">
    <w:name w:val="TOC1"/>
    <w:basedOn w:val="TOC20"/>
    <w:rsid w:val="007B752C"/>
    <w:pPr>
      <w:spacing w:before="240"/>
    </w:pPr>
    <w:rPr>
      <w:b/>
    </w:rPr>
  </w:style>
  <w:style w:type="paragraph" w:styleId="Title">
    <w:name w:val="Title"/>
    <w:basedOn w:val="Normal"/>
    <w:link w:val="TitleChar"/>
    <w:qFormat/>
    <w:rsid w:val="00B72DD3"/>
    <w:pPr>
      <w:spacing w:before="240" w:after="60"/>
    </w:pPr>
    <w:rPr>
      <w:rFonts w:ascii="Arial Narrow" w:hAnsi="Arial Narrow" w:cs="Arial"/>
      <w:b/>
      <w:bCs/>
      <w:kern w:val="28"/>
      <w:sz w:val="48"/>
      <w:szCs w:val="32"/>
    </w:rPr>
  </w:style>
  <w:style w:type="character" w:customStyle="1" w:styleId="TitleChar">
    <w:name w:val="Title Char"/>
    <w:basedOn w:val="DefaultParagraphFont"/>
    <w:link w:val="Title"/>
    <w:rsid w:val="00B72DD3"/>
    <w:rPr>
      <w:rFonts w:ascii="Arial Narrow" w:hAnsi="Arial Narrow" w:cs="Arial"/>
      <w:b/>
      <w:bCs/>
      <w:kern w:val="28"/>
      <w:sz w:val="48"/>
      <w:szCs w:val="32"/>
      <w:lang w:val="en-NZ" w:eastAsia="en-US" w:bidi="ar-SA"/>
    </w:rPr>
  </w:style>
  <w:style w:type="paragraph" w:styleId="Subtitle">
    <w:name w:val="Subtitle"/>
    <w:basedOn w:val="Normal"/>
    <w:qFormat/>
    <w:rsid w:val="009F7A2D"/>
    <w:pPr>
      <w:spacing w:after="60"/>
    </w:pPr>
    <w:rPr>
      <w:rFonts w:ascii="Arial Narrow" w:hAnsi="Arial Narrow" w:cs="Arial"/>
      <w:b/>
      <w:sz w:val="28"/>
      <w:szCs w:val="24"/>
    </w:rPr>
  </w:style>
  <w:style w:type="paragraph" w:customStyle="1" w:styleId="ISBN">
    <w:name w:val="ISBN"/>
    <w:basedOn w:val="Normal"/>
    <w:rsid w:val="00C57E79"/>
    <w:rPr>
      <w:rFonts w:ascii="Arial Narrow" w:hAnsi="Arial Narrow"/>
    </w:rPr>
  </w:style>
  <w:style w:type="paragraph" w:customStyle="1" w:styleId="Date-frontpage">
    <w:name w:val="Date-front page"/>
    <w:basedOn w:val="ReturnAddress"/>
    <w:rsid w:val="009F7A2D"/>
    <w:pPr>
      <w:jc w:val="left"/>
    </w:pPr>
    <w:rPr>
      <w:rFonts w:ascii="Arial Narrow" w:hAnsi="Arial Narrow"/>
      <w:b/>
      <w:sz w:val="24"/>
    </w:rPr>
  </w:style>
  <w:style w:type="paragraph" w:customStyle="1" w:styleId="Disclaimer">
    <w:name w:val="Disclaimer"/>
    <w:basedOn w:val="Normal"/>
    <w:rsid w:val="00C57E79"/>
    <w:pPr>
      <w:ind w:right="1395"/>
    </w:pPr>
    <w:rPr>
      <w:rFonts w:ascii="Arial Narrow" w:hAnsi="Arial Narrow"/>
      <w:b/>
      <w:sz w:val="36"/>
    </w:rPr>
  </w:style>
  <w:style w:type="paragraph" w:styleId="ListBullet2">
    <w:name w:val="List Bullet 2"/>
    <w:basedOn w:val="Normal"/>
    <w:rsid w:val="00C57E79"/>
    <w:pPr>
      <w:numPr>
        <w:numId w:val="35"/>
      </w:numPr>
    </w:pPr>
  </w:style>
  <w:style w:type="paragraph" w:styleId="ListNumber2">
    <w:name w:val="List Number 2"/>
    <w:basedOn w:val="Normal"/>
    <w:rsid w:val="00C57E79"/>
    <w:pPr>
      <w:numPr>
        <w:numId w:val="36"/>
      </w:numPr>
      <w:tabs>
        <w:tab w:val="clear" w:pos="284"/>
        <w:tab w:val="num" w:pos="851"/>
      </w:tabs>
      <w:ind w:left="851" w:hanging="426"/>
    </w:pPr>
  </w:style>
  <w:style w:type="table" w:styleId="TableGrid">
    <w:name w:val="Table Grid"/>
    <w:basedOn w:val="TableNormal"/>
    <w:semiHidden/>
    <w:locked/>
    <w:rsid w:val="00231D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ingscentred">
    <w:name w:val="Table Column Headings centred"/>
    <w:basedOn w:val="TableColumnHeadings"/>
    <w:rsid w:val="00231D6D"/>
    <w:pPr>
      <w:tabs>
        <w:tab w:val="left" w:pos="1005"/>
      </w:tabs>
      <w:jc w:val="center"/>
    </w:pPr>
  </w:style>
  <w:style w:type="paragraph" w:customStyle="1" w:styleId="TablesTextdecimalaligned">
    <w:name w:val="Tables Text decimal aligned"/>
    <w:basedOn w:val="TablesText"/>
    <w:rsid w:val="00231D6D"/>
    <w:pPr>
      <w:tabs>
        <w:tab w:val="decimal" w:pos="1365"/>
      </w:tabs>
    </w:pPr>
  </w:style>
  <w:style w:type="character" w:customStyle="1" w:styleId="Bold">
    <w:name w:val="Bold"/>
    <w:basedOn w:val="DefaultParagraphFont"/>
    <w:rsid w:val="00231D6D"/>
    <w:rPr>
      <w:b/>
    </w:rPr>
  </w:style>
  <w:style w:type="character" w:customStyle="1" w:styleId="Italic">
    <w:name w:val="Italic"/>
    <w:basedOn w:val="DefaultParagraphFont"/>
    <w:rsid w:val="00231D6D"/>
    <w:rPr>
      <w:i/>
    </w:rPr>
  </w:style>
  <w:style w:type="character" w:customStyle="1" w:styleId="BoldItalic">
    <w:name w:val="Bold Italic"/>
    <w:basedOn w:val="DefaultParagraphFont"/>
    <w:rsid w:val="00231D6D"/>
    <w:rPr>
      <w:b/>
      <w:i/>
    </w:rPr>
  </w:style>
  <w:style w:type="character" w:customStyle="1" w:styleId="superscript">
    <w:name w:val="superscript"/>
    <w:basedOn w:val="DefaultParagraphFont"/>
    <w:rsid w:val="004D1673"/>
    <w:rPr>
      <w:vertAlign w:val="superscript"/>
    </w:rPr>
  </w:style>
  <w:style w:type="character" w:customStyle="1" w:styleId="subscript">
    <w:name w:val="subscript"/>
    <w:basedOn w:val="superscript"/>
    <w:rsid w:val="004D1673"/>
    <w:rPr>
      <w:vertAlign w:val="subscript"/>
    </w:rPr>
  </w:style>
  <w:style w:type="character" w:styleId="FollowedHyperlink">
    <w:name w:val="FollowedHyperlink"/>
    <w:basedOn w:val="DefaultParagraphFont"/>
    <w:rsid w:val="007075EB"/>
    <w:rPr>
      <w:color w:val="800080"/>
      <w:u w:val="single"/>
    </w:rPr>
  </w:style>
  <w:style w:type="character" w:styleId="Hyperlink">
    <w:name w:val="Hyperlink"/>
    <w:basedOn w:val="DefaultParagraphFont"/>
    <w:uiPriority w:val="99"/>
    <w:rsid w:val="006C57DB"/>
    <w:rPr>
      <w:color w:val="0000FF"/>
      <w:u w:val="single"/>
    </w:rPr>
  </w:style>
  <w:style w:type="character" w:customStyle="1" w:styleId="Heading5Char">
    <w:name w:val="Heading 5 Char"/>
    <w:basedOn w:val="DefaultParagraphFont"/>
    <w:link w:val="Heading5"/>
    <w:semiHidden/>
    <w:rsid w:val="00D7586B"/>
    <w:rPr>
      <w:rFonts w:ascii="Calibri" w:eastAsia="Times New Roman" w:hAnsi="Calibri" w:cs="Times New Roman"/>
      <w:b/>
      <w:bCs/>
      <w:i/>
      <w:iCs/>
      <w:sz w:val="26"/>
      <w:szCs w:val="26"/>
      <w:lang w:eastAsia="en-US"/>
    </w:rPr>
  </w:style>
  <w:style w:type="character" w:customStyle="1" w:styleId="Heading6Char">
    <w:name w:val="Heading 6 Char"/>
    <w:basedOn w:val="DefaultParagraphFont"/>
    <w:link w:val="Heading6"/>
    <w:semiHidden/>
    <w:rsid w:val="00D7586B"/>
    <w:rPr>
      <w:rFonts w:ascii="Calibri" w:eastAsia="Times New Roman" w:hAnsi="Calibri" w:cs="Times New Roman"/>
      <w:b/>
      <w:bCs/>
      <w:sz w:val="22"/>
      <w:szCs w:val="22"/>
      <w:lang w:eastAsia="en-US"/>
    </w:rPr>
  </w:style>
  <w:style w:type="character" w:customStyle="1" w:styleId="Heading7Char">
    <w:name w:val="Heading 7 Char"/>
    <w:basedOn w:val="DefaultParagraphFont"/>
    <w:link w:val="Heading7"/>
    <w:semiHidden/>
    <w:rsid w:val="00D7586B"/>
    <w:rPr>
      <w:rFonts w:ascii="Calibri" w:eastAsia="Times New Roman" w:hAnsi="Calibri" w:cs="Times New Roman"/>
      <w:sz w:val="24"/>
      <w:szCs w:val="24"/>
      <w:lang w:eastAsia="en-US"/>
    </w:rPr>
  </w:style>
  <w:style w:type="character" w:customStyle="1" w:styleId="Heading8Char">
    <w:name w:val="Heading 8 Char"/>
    <w:basedOn w:val="DefaultParagraphFont"/>
    <w:link w:val="Heading8"/>
    <w:semiHidden/>
    <w:rsid w:val="00D7586B"/>
    <w:rPr>
      <w:rFonts w:ascii="Calibri" w:eastAsia="Times New Roman" w:hAnsi="Calibri" w:cs="Times New Roman"/>
      <w:i/>
      <w:iCs/>
      <w:sz w:val="24"/>
      <w:szCs w:val="24"/>
      <w:lang w:eastAsia="en-US"/>
    </w:rPr>
  </w:style>
  <w:style w:type="character" w:customStyle="1" w:styleId="Heading9Char">
    <w:name w:val="Heading 9 Char"/>
    <w:basedOn w:val="DefaultParagraphFont"/>
    <w:link w:val="Heading9"/>
    <w:semiHidden/>
    <w:rsid w:val="00D7586B"/>
    <w:rPr>
      <w:rFonts w:ascii="Cambria" w:eastAsia="Times New Roman" w:hAnsi="Cambria" w:cs="Times New Roman"/>
      <w:sz w:val="22"/>
      <w:szCs w:val="22"/>
      <w:lang w:eastAsia="en-US"/>
    </w:rPr>
  </w:style>
  <w:style w:type="paragraph" w:customStyle="1" w:styleId="FAPHeadingThree">
    <w:name w:val="FAP Heading Three"/>
    <w:basedOn w:val="ListParagraph"/>
    <w:uiPriority w:val="99"/>
    <w:rsid w:val="00A84C22"/>
    <w:pPr>
      <w:ind w:left="0"/>
      <w:jc w:val="both"/>
    </w:pPr>
    <w:rPr>
      <w:rFonts w:ascii="Arial" w:hAnsi="Arial" w:cs="Arial"/>
      <w:i/>
      <w:sz w:val="22"/>
      <w:szCs w:val="22"/>
      <w:u w:val="single"/>
    </w:rPr>
  </w:style>
  <w:style w:type="paragraph" w:styleId="ListParagraph">
    <w:name w:val="List Paragraph"/>
    <w:basedOn w:val="Normal"/>
    <w:link w:val="ListParagraphChar"/>
    <w:uiPriority w:val="34"/>
    <w:qFormat/>
    <w:rsid w:val="00A84C22"/>
    <w:pPr>
      <w:ind w:left="720"/>
      <w:contextualSpacing/>
    </w:pPr>
  </w:style>
  <w:style w:type="character" w:styleId="FootnoteReference">
    <w:name w:val="footnote reference"/>
    <w:basedOn w:val="DefaultParagraphFont"/>
    <w:uiPriority w:val="99"/>
    <w:rsid w:val="004412A2"/>
    <w:rPr>
      <w:rFonts w:cs="Times New Roman"/>
      <w:vertAlign w:val="superscript"/>
    </w:rPr>
  </w:style>
  <w:style w:type="character" w:customStyle="1" w:styleId="FootnoteTextChar">
    <w:name w:val="Footnote Text Char"/>
    <w:basedOn w:val="DefaultParagraphFont"/>
    <w:link w:val="FootnoteText"/>
    <w:uiPriority w:val="99"/>
    <w:rsid w:val="004412A2"/>
    <w:rPr>
      <w:sz w:val="16"/>
      <w:lang w:eastAsia="en-US"/>
    </w:rPr>
  </w:style>
  <w:style w:type="character" w:customStyle="1" w:styleId="ListParagraphChar">
    <w:name w:val="List Paragraph Char"/>
    <w:basedOn w:val="DefaultParagraphFont"/>
    <w:link w:val="ListParagraph"/>
    <w:uiPriority w:val="34"/>
    <w:locked/>
    <w:rsid w:val="00185CEB"/>
    <w:rPr>
      <w:sz w:val="24"/>
      <w:lang w:eastAsia="en-US"/>
    </w:rPr>
  </w:style>
  <w:style w:type="character" w:styleId="CommentReference">
    <w:name w:val="annotation reference"/>
    <w:basedOn w:val="DefaultParagraphFont"/>
    <w:rsid w:val="007C06D6"/>
    <w:rPr>
      <w:sz w:val="16"/>
      <w:szCs w:val="16"/>
    </w:rPr>
  </w:style>
  <w:style w:type="paragraph" w:styleId="CommentText">
    <w:name w:val="annotation text"/>
    <w:basedOn w:val="Normal"/>
    <w:link w:val="CommentTextChar"/>
    <w:rsid w:val="007C06D6"/>
    <w:rPr>
      <w:sz w:val="20"/>
    </w:rPr>
  </w:style>
  <w:style w:type="character" w:customStyle="1" w:styleId="CommentTextChar">
    <w:name w:val="Comment Text Char"/>
    <w:basedOn w:val="DefaultParagraphFont"/>
    <w:link w:val="CommentText"/>
    <w:rsid w:val="007C06D6"/>
    <w:rPr>
      <w:lang w:eastAsia="en-US"/>
    </w:rPr>
  </w:style>
  <w:style w:type="paragraph" w:styleId="CommentSubject">
    <w:name w:val="annotation subject"/>
    <w:basedOn w:val="CommentText"/>
    <w:next w:val="CommentText"/>
    <w:link w:val="CommentSubjectChar"/>
    <w:rsid w:val="007C06D6"/>
    <w:rPr>
      <w:b/>
      <w:bCs/>
    </w:rPr>
  </w:style>
  <w:style w:type="character" w:customStyle="1" w:styleId="CommentSubjectChar">
    <w:name w:val="Comment Subject Char"/>
    <w:basedOn w:val="CommentTextChar"/>
    <w:link w:val="CommentSubject"/>
    <w:rsid w:val="007C06D6"/>
    <w:rPr>
      <w:b/>
      <w:bCs/>
      <w:lang w:eastAsia="en-US"/>
    </w:rPr>
  </w:style>
  <w:style w:type="paragraph" w:styleId="BalloonText">
    <w:name w:val="Balloon Text"/>
    <w:basedOn w:val="Normal"/>
    <w:link w:val="BalloonTextChar"/>
    <w:locked/>
    <w:rsid w:val="007C06D6"/>
    <w:rPr>
      <w:rFonts w:ascii="Segoe UI" w:hAnsi="Segoe UI" w:cs="Segoe UI"/>
      <w:sz w:val="18"/>
      <w:szCs w:val="18"/>
    </w:rPr>
  </w:style>
  <w:style w:type="character" w:customStyle="1" w:styleId="BalloonTextChar">
    <w:name w:val="Balloon Text Char"/>
    <w:basedOn w:val="DefaultParagraphFont"/>
    <w:link w:val="BalloonText"/>
    <w:rsid w:val="007C06D6"/>
    <w:rPr>
      <w:rFonts w:ascii="Segoe UI" w:hAnsi="Segoe UI" w:cs="Segoe UI"/>
      <w:sz w:val="18"/>
      <w:szCs w:val="18"/>
      <w:lang w:eastAsia="en-US"/>
    </w:rPr>
  </w:style>
  <w:style w:type="character" w:customStyle="1" w:styleId="HeaderChar">
    <w:name w:val="Header Char"/>
    <w:basedOn w:val="DefaultParagraphFont"/>
    <w:link w:val="Header"/>
    <w:uiPriority w:val="99"/>
    <w:locked/>
    <w:rsid w:val="008C0F11"/>
    <w:rPr>
      <w:sz w:val="24"/>
      <w:lang w:eastAsia="en-US"/>
    </w:rPr>
  </w:style>
  <w:style w:type="paragraph" w:styleId="TOC3">
    <w:name w:val="toc 3"/>
    <w:basedOn w:val="Normal"/>
    <w:next w:val="Normal"/>
    <w:autoRedefine/>
    <w:locked/>
    <w:rsid w:val="00FE7047"/>
    <w:pPr>
      <w:spacing w:after="100"/>
      <w:ind w:left="480"/>
    </w:pPr>
    <w:rPr>
      <w:rFonts w:ascii="Arial Narrow" w:hAnsi="Arial Narro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brand@mpi.govt.nz" TargetMode="External"/><Relationship Id="rId18" Type="http://schemas.openxmlformats.org/officeDocument/2006/relationships/footer" Target="footer4.xml"/><Relationship Id="rId26" Type="http://schemas.openxmlformats.org/officeDocument/2006/relationships/footer" Target="footer8.xm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chart" Target="charts/chart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image" Target="media/image5.jpeg"/><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yperlink" Target="mailto:FMsubmissions@mpi.govt.nz"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pi.govt.nz/news-resources/publications.aspx" TargetMode="External"/><Relationship Id="rId22" Type="http://schemas.openxmlformats.org/officeDocument/2006/relationships/footer" Target="footer7.xml"/><Relationship Id="rId27" Type="http://schemas.openxmlformats.org/officeDocument/2006/relationships/footer" Target="footer9.xm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wangja\Desktop\MPI%20Templates\MPI%20Report%20Template.dot"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wlgfs1\common\DeepWater\04%20Cross%20Fishery%20Issues\Deemed%20Values\October%202016%20DV%20review\Graphs.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1"/>
          <c:order val="1"/>
          <c:tx>
            <c:strRef>
              <c:f>'M:\DeepWater\04 Cross Fishery Issues\Deemed Values\October 2016 DV review\[Catch vs TACC.xlsx]Sheet2'!$C$2</c:f>
              <c:strCache>
                <c:ptCount val="1"/>
                <c:pt idx="0">
                  <c:v>Catch</c:v>
                </c:pt>
              </c:strCache>
            </c:strRef>
          </c:tx>
          <c:spPr>
            <a:solidFill>
              <a:schemeClr val="accent6">
                <a:lumMod val="75000"/>
              </a:schemeClr>
            </a:solidFill>
            <a:ln>
              <a:solidFill>
                <a:schemeClr val="tx1"/>
              </a:solidFill>
            </a:ln>
            <a:effectLst/>
          </c:spPr>
          <c:invertIfNegative val="0"/>
          <c:cat>
            <c:strRef>
              <c:f>[1]Sheet2!$A$3:$A$20</c:f>
              <c:strCache>
                <c:ptCount val="18"/>
                <c:pt idx="0">
                  <c:v>1998/99</c:v>
                </c:pt>
                <c:pt idx="1">
                  <c:v>1999/00</c:v>
                </c:pt>
                <c:pt idx="2">
                  <c:v>2000/01</c:v>
                </c:pt>
                <c:pt idx="3">
                  <c:v>2001/02</c:v>
                </c:pt>
                <c:pt idx="4">
                  <c:v>2002/03</c:v>
                </c:pt>
                <c:pt idx="5">
                  <c:v>2003/04</c:v>
                </c:pt>
                <c:pt idx="6">
                  <c:v>2004/05</c:v>
                </c:pt>
                <c:pt idx="7">
                  <c:v>2005/06</c:v>
                </c:pt>
                <c:pt idx="8">
                  <c:v>2006/07</c:v>
                </c:pt>
                <c:pt idx="9">
                  <c:v>2007/08</c:v>
                </c:pt>
                <c:pt idx="10">
                  <c:v>2008/09</c:v>
                </c:pt>
                <c:pt idx="11">
                  <c:v>2009/10</c:v>
                </c:pt>
                <c:pt idx="12">
                  <c:v>2010/11</c:v>
                </c:pt>
                <c:pt idx="13">
                  <c:v>2011/12</c:v>
                </c:pt>
                <c:pt idx="14">
                  <c:v>2012/13</c:v>
                </c:pt>
                <c:pt idx="15">
                  <c:v>2013/14</c:v>
                </c:pt>
                <c:pt idx="16">
                  <c:v>2014/15</c:v>
                </c:pt>
                <c:pt idx="17">
                  <c:v>2015/16</c:v>
                </c:pt>
              </c:strCache>
            </c:strRef>
          </c:cat>
          <c:val>
            <c:numRef>
              <c:f>[1]Sheet2!$C$3:$C$20</c:f>
              <c:numCache>
                <c:formatCode>General</c:formatCode>
                <c:ptCount val="18"/>
                <c:pt idx="0">
                  <c:v>0.23400000000000001</c:v>
                </c:pt>
                <c:pt idx="1">
                  <c:v>6.3710000000000004</c:v>
                </c:pt>
                <c:pt idx="2">
                  <c:v>2.1999999999999999E-2</c:v>
                </c:pt>
                <c:pt idx="3">
                  <c:v>1.1950000000000001</c:v>
                </c:pt>
                <c:pt idx="4">
                  <c:v>6.7000000000000004E-2</c:v>
                </c:pt>
                <c:pt idx="5">
                  <c:v>0.253</c:v>
                </c:pt>
                <c:pt idx="6">
                  <c:v>0.33300000000000002</c:v>
                </c:pt>
                <c:pt idx="7">
                  <c:v>0.217</c:v>
                </c:pt>
                <c:pt idx="8">
                  <c:v>3.9209999999999998</c:v>
                </c:pt>
                <c:pt idx="9">
                  <c:v>0.2</c:v>
                </c:pt>
                <c:pt idx="10">
                  <c:v>0.10100000000000001</c:v>
                </c:pt>
                <c:pt idx="11">
                  <c:v>1.603</c:v>
                </c:pt>
                <c:pt idx="12">
                  <c:v>0.152</c:v>
                </c:pt>
                <c:pt idx="13">
                  <c:v>0.57699999999999996</c:v>
                </c:pt>
                <c:pt idx="14">
                  <c:v>1.8959999999999999</c:v>
                </c:pt>
                <c:pt idx="15">
                  <c:v>0.218</c:v>
                </c:pt>
                <c:pt idx="16">
                  <c:v>14.29</c:v>
                </c:pt>
                <c:pt idx="17">
                  <c:v>29.06</c:v>
                </c:pt>
              </c:numCache>
            </c:numRef>
          </c:val>
        </c:ser>
        <c:dLbls>
          <c:showLegendKey val="0"/>
          <c:showVal val="0"/>
          <c:showCatName val="0"/>
          <c:showSerName val="0"/>
          <c:showPercent val="0"/>
          <c:showBubbleSize val="0"/>
        </c:dLbls>
        <c:gapWidth val="32"/>
        <c:axId val="190814952"/>
        <c:axId val="190812208"/>
      </c:barChart>
      <c:lineChart>
        <c:grouping val="standard"/>
        <c:varyColors val="0"/>
        <c:ser>
          <c:idx val="0"/>
          <c:order val="0"/>
          <c:tx>
            <c:strRef>
              <c:f>'M:\DeepWater\04 Cross Fishery Issues\Deemed Values\October 2016 DV review\[Catch vs TACC.xlsx]Sheet2'!$B$2</c:f>
              <c:strCache>
                <c:ptCount val="1"/>
                <c:pt idx="0">
                  <c:v>TACC</c:v>
                </c:pt>
              </c:strCache>
            </c:strRef>
          </c:tx>
          <c:spPr>
            <a:ln w="25400" cap="rnd">
              <a:solidFill>
                <a:schemeClr val="tx1"/>
              </a:solidFill>
              <a:round/>
            </a:ln>
            <a:effectLst/>
          </c:spPr>
          <c:marker>
            <c:symbol val="diamond"/>
            <c:size val="5"/>
            <c:spPr>
              <a:solidFill>
                <a:schemeClr val="tx1"/>
              </a:solidFill>
              <a:ln w="9525">
                <a:solidFill>
                  <a:schemeClr val="tx1"/>
                </a:solidFill>
              </a:ln>
              <a:effectLst/>
            </c:spPr>
          </c:marker>
          <c:cat>
            <c:strRef>
              <c:f>[1]Sheet2!$A$3:$A$20</c:f>
              <c:strCache>
                <c:ptCount val="18"/>
                <c:pt idx="0">
                  <c:v>1998/99</c:v>
                </c:pt>
                <c:pt idx="1">
                  <c:v>1999/00</c:v>
                </c:pt>
                <c:pt idx="2">
                  <c:v>2000/01</c:v>
                </c:pt>
                <c:pt idx="3">
                  <c:v>2001/02</c:v>
                </c:pt>
                <c:pt idx="4">
                  <c:v>2002/03</c:v>
                </c:pt>
                <c:pt idx="5">
                  <c:v>2003/04</c:v>
                </c:pt>
                <c:pt idx="6">
                  <c:v>2004/05</c:v>
                </c:pt>
                <c:pt idx="7">
                  <c:v>2005/06</c:v>
                </c:pt>
                <c:pt idx="8">
                  <c:v>2006/07</c:v>
                </c:pt>
                <c:pt idx="9">
                  <c:v>2007/08</c:v>
                </c:pt>
                <c:pt idx="10">
                  <c:v>2008/09</c:v>
                </c:pt>
                <c:pt idx="11">
                  <c:v>2009/10</c:v>
                </c:pt>
                <c:pt idx="12">
                  <c:v>2010/11</c:v>
                </c:pt>
                <c:pt idx="13">
                  <c:v>2011/12</c:v>
                </c:pt>
                <c:pt idx="14">
                  <c:v>2012/13</c:v>
                </c:pt>
                <c:pt idx="15">
                  <c:v>2013/14</c:v>
                </c:pt>
                <c:pt idx="16">
                  <c:v>2014/15</c:v>
                </c:pt>
                <c:pt idx="17">
                  <c:v>2015/16</c:v>
                </c:pt>
              </c:strCache>
            </c:strRef>
          </c:cat>
          <c:val>
            <c:numRef>
              <c:f>[1]Sheet2!$B$3:$B$20</c:f>
              <c:numCache>
                <c:formatCode>General</c:formatCode>
                <c:ptCount val="18"/>
                <c:pt idx="0">
                  <c:v>3</c:v>
                </c:pt>
                <c:pt idx="1">
                  <c:v>3</c:v>
                </c:pt>
                <c:pt idx="2">
                  <c:v>3</c:v>
                </c:pt>
                <c:pt idx="3">
                  <c:v>3</c:v>
                </c:pt>
                <c:pt idx="4">
                  <c:v>3</c:v>
                </c:pt>
                <c:pt idx="5">
                  <c:v>3</c:v>
                </c:pt>
                <c:pt idx="6">
                  <c:v>3</c:v>
                </c:pt>
                <c:pt idx="7">
                  <c:v>3</c:v>
                </c:pt>
                <c:pt idx="8">
                  <c:v>3</c:v>
                </c:pt>
                <c:pt idx="9">
                  <c:v>3</c:v>
                </c:pt>
                <c:pt idx="10">
                  <c:v>3</c:v>
                </c:pt>
                <c:pt idx="11">
                  <c:v>3</c:v>
                </c:pt>
                <c:pt idx="12">
                  <c:v>3</c:v>
                </c:pt>
                <c:pt idx="13">
                  <c:v>3</c:v>
                </c:pt>
                <c:pt idx="14">
                  <c:v>3</c:v>
                </c:pt>
                <c:pt idx="15">
                  <c:v>3</c:v>
                </c:pt>
                <c:pt idx="16">
                  <c:v>3</c:v>
                </c:pt>
                <c:pt idx="17">
                  <c:v>3</c:v>
                </c:pt>
              </c:numCache>
            </c:numRef>
          </c:val>
          <c:smooth val="0"/>
        </c:ser>
        <c:dLbls>
          <c:showLegendKey val="0"/>
          <c:showVal val="0"/>
          <c:showCatName val="0"/>
          <c:showSerName val="0"/>
          <c:showPercent val="0"/>
          <c:showBubbleSize val="0"/>
        </c:dLbls>
        <c:marker val="1"/>
        <c:smooth val="0"/>
        <c:axId val="190814952"/>
        <c:axId val="190812208"/>
      </c:lineChart>
      <c:catAx>
        <c:axId val="190814952"/>
        <c:scaling>
          <c:orientation val="minMax"/>
        </c:scaling>
        <c:delete val="0"/>
        <c:axPos val="b"/>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800" b="1" i="0" u="none" strike="noStrike" kern="1200" baseline="0">
                <a:solidFill>
                  <a:schemeClr val="tx1"/>
                </a:solidFill>
                <a:latin typeface="Arial Narrow" panose="020B0606020202030204" pitchFamily="34" charset="0"/>
                <a:ea typeface="+mn-ea"/>
                <a:cs typeface="+mn-cs"/>
              </a:defRPr>
            </a:pPr>
            <a:endParaRPr lang="en-US"/>
          </a:p>
        </c:txPr>
        <c:crossAx val="190812208"/>
        <c:crosses val="autoZero"/>
        <c:auto val="1"/>
        <c:lblAlgn val="ctr"/>
        <c:lblOffset val="100"/>
        <c:noMultiLvlLbl val="0"/>
      </c:catAx>
      <c:valAx>
        <c:axId val="190812208"/>
        <c:scaling>
          <c:orientation val="minMax"/>
          <c:max val="30"/>
        </c:scaling>
        <c:delete val="0"/>
        <c:axPos val="l"/>
        <c:title>
          <c:tx>
            <c:rich>
              <a:bodyPr rot="-5400000" spcFirstLastPara="1" vertOverflow="ellipsis" vert="horz" wrap="square" anchor="ctr" anchorCtr="1"/>
              <a:lstStyle/>
              <a:p>
                <a:pPr>
                  <a:defRPr sz="1400" b="1" i="0" u="none" strike="noStrike" kern="1200" baseline="0">
                    <a:solidFill>
                      <a:schemeClr val="tx1">
                        <a:lumMod val="65000"/>
                        <a:lumOff val="35000"/>
                      </a:schemeClr>
                    </a:solidFill>
                    <a:latin typeface="Arial Narrow" panose="020B0606020202030204" pitchFamily="34" charset="0"/>
                    <a:ea typeface="+mn-ea"/>
                    <a:cs typeface="+mn-cs"/>
                  </a:defRPr>
                </a:pPr>
                <a:r>
                  <a:rPr lang="en-US" sz="1400" b="1">
                    <a:latin typeface="Arial Narrow" panose="020B0606020202030204" pitchFamily="34" charset="0"/>
                  </a:rPr>
                  <a:t>Catch (t)</a:t>
                </a:r>
              </a:p>
            </c:rich>
          </c:tx>
          <c:layout>
            <c:manualLayout>
              <c:xMode val="edge"/>
              <c:yMode val="edge"/>
              <c:x val="4.410143329658214E-3"/>
              <c:y val="0.21881997092370889"/>
            </c:manualLayout>
          </c:layout>
          <c:overlay val="0"/>
          <c:spPr>
            <a:noFill/>
            <a:ln>
              <a:noFill/>
            </a:ln>
            <a:effectLst/>
          </c:spPr>
          <c:txPr>
            <a:bodyPr rot="-5400000" spcFirstLastPara="1" vertOverflow="ellipsis" vert="horz" wrap="square" anchor="ctr" anchorCtr="1"/>
            <a:lstStyle/>
            <a:p>
              <a:pPr>
                <a:defRPr sz="1400" b="1" i="0" u="none" strike="noStrike" kern="1200" baseline="0">
                  <a:solidFill>
                    <a:schemeClr val="tx1">
                      <a:lumMod val="65000"/>
                      <a:lumOff val="35000"/>
                    </a:schemeClr>
                  </a:solidFill>
                  <a:latin typeface="Arial Narrow" panose="020B0606020202030204" pitchFamily="34" charset="0"/>
                  <a:ea typeface="+mn-ea"/>
                  <a:cs typeface="+mn-cs"/>
                </a:defRPr>
              </a:pPr>
              <a:endParaRPr lang="en-US"/>
            </a:p>
          </c:txPr>
        </c:title>
        <c:numFmt formatCode="General" sourceLinked="1"/>
        <c:majorTickMark val="out"/>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Arial Narrow" panose="020B0606020202030204" pitchFamily="34" charset="0"/>
                <a:ea typeface="+mn-ea"/>
                <a:cs typeface="+mn-cs"/>
              </a:defRPr>
            </a:pPr>
            <a:endParaRPr lang="en-US"/>
          </a:p>
        </c:txPr>
        <c:crossAx val="190814952"/>
        <c:crosses val="autoZero"/>
        <c:crossBetween val="between"/>
      </c:valAx>
      <c:spPr>
        <a:noFill/>
        <a:ln>
          <a:noFill/>
        </a:ln>
        <a:effectLst/>
      </c:spPr>
    </c:plotArea>
    <c:legend>
      <c:legendPos val="r"/>
      <c:layout>
        <c:manualLayout>
          <c:xMode val="edge"/>
          <c:yMode val="edge"/>
          <c:x val="0.3381353981457963"/>
          <c:y val="1.3640488247519279E-3"/>
          <c:w val="0.31276193802387597"/>
          <c:h val="0.24220978835393767"/>
        </c:manualLayout>
      </c:layout>
      <c:overlay val="1"/>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Arial Narrow" panose="020B0606020202030204" pitchFamily="34" charset="0"/>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3TopicNote xmlns="01be4277-2979-4a68-876d-b92b25fceece">
      <Terms xmlns="http://schemas.microsoft.com/office/infopath/2007/PartnerControls">
        <TermInfo xmlns="http://schemas.microsoft.com/office/infopath/2007/PartnerControls">
          <TermName xmlns="http://schemas.microsoft.com/office/infopath/2007/PartnerControls">Consultation</TermName>
          <TermId xmlns="http://schemas.microsoft.com/office/infopath/2007/PartnerControls">772aab91-6720-4ebc-8cf2-6f1a4b79c74a</TermId>
        </TermInfo>
      </Terms>
    </C3TopicNote>
    <TaxKeywordTaxHTField xmlns="53305d22-c52c-4ebf-80a3-731614f57ab7">
      <Terms xmlns="http://schemas.microsoft.com/office/infopath/2007/PartnerControls"/>
    </TaxKeywordTaxHTField>
    <MPIRegulatoryRoundType xmlns="53305d22-c52c-4ebf-80a3-731614f57ab7">Sustainability</MPIRegulatoryRoundType>
    <od12f45513fd4debb073a8a26f4c6b4f xmlns="53305d22-c52c-4ebf-80a3-731614f57ab7">
      <Terms xmlns="http://schemas.microsoft.com/office/infopath/2007/PartnerControls"/>
    </od12f45513fd4debb073a8a26f4c6b4f>
    <PingarLastProcessed xmlns="53305d22-c52c-4ebf-80a3-731614f57ab7" xsi:nil="true"/>
    <IconOverlay xmlns="http://schemas.microsoft.com/sharepoint/v4" xsi:nil="true"/>
    <g1fe1e02ea0941d1b1173a4aff436797 xmlns="53305d22-c52c-4ebf-80a3-731614f57ab7">
      <Terms xmlns="http://schemas.microsoft.com/office/infopath/2007/PartnerControls">
        <TermInfo xmlns="http://schemas.microsoft.com/office/infopath/2007/PartnerControls">
          <TermName xmlns="http://schemas.microsoft.com/office/infopath/2007/PartnerControls">None</TermName>
          <TermId xmlns="http://schemas.microsoft.com/office/infopath/2007/PartnerControls">cf402fa0-b6a8-49a7-a22e-a95b6152c608</TermId>
        </TermInfo>
      </Terms>
    </g1fe1e02ea0941d1b1173a4aff436797>
    <TaxCatchAll xmlns="53305d22-c52c-4ebf-80a3-731614f57ab7">
      <Value>7030</Value>
      <Value>1</Value>
    </TaxCatchAll>
  </documentManagement>
</p:properties>
</file>

<file path=customXml/item2.xml><?xml version="1.0" encoding="utf-8"?>
<ct:contentTypeSchema xmlns:ct="http://schemas.microsoft.com/office/2006/metadata/contentType" xmlns:ma="http://schemas.microsoft.com/office/2006/metadata/properties/metaAttributes" ct:_="" ma:_="" ma:contentTypeName="Word Document" ma:contentTypeID="0x0101005496552013C0BA46BE88192D5C6EB20B00BC7B51C3C3DA487E91D1E0ED95F8C85C0050651C5176DF77499FC56E8051007AF6" ma:contentTypeVersion="21" ma:contentTypeDescription="Create a new Word Document" ma:contentTypeScope="" ma:versionID="8f844db2432491a1de4a6cef9f54cd54">
  <xsd:schema xmlns:xsd="http://www.w3.org/2001/XMLSchema" xmlns:xs="http://www.w3.org/2001/XMLSchema" xmlns:p="http://schemas.microsoft.com/office/2006/metadata/properties" xmlns:ns3="53305d22-c52c-4ebf-80a3-731614f57ab7" xmlns:ns4="01be4277-2979-4a68-876d-b92b25fceece" xmlns:ns5="http://schemas.microsoft.com/sharepoint/v4" targetNamespace="http://schemas.microsoft.com/office/2006/metadata/properties" ma:root="true" ma:fieldsID="ec681d0a642a7be118d9d9a502fbd364" ns3:_="" ns4:_="" ns5:_="">
    <xsd:import namespace="53305d22-c52c-4ebf-80a3-731614f57ab7"/>
    <xsd:import namespace="01be4277-2979-4a68-876d-b92b25fceece"/>
    <xsd:import namespace="http://schemas.microsoft.com/sharepoint/v4"/>
    <xsd:element name="properties">
      <xsd:complexType>
        <xsd:sequence>
          <xsd:element name="documentManagement">
            <xsd:complexType>
              <xsd:all>
                <xsd:element ref="ns3:MPIRegulatoryRoundType" minOccurs="0"/>
                <xsd:element ref="ns3:PingarLastProcessed" minOccurs="0"/>
                <xsd:element ref="ns3:TaxKeywordTaxHTField" minOccurs="0"/>
                <xsd:element ref="ns3:TaxCatchAll" minOccurs="0"/>
                <xsd:element ref="ns3:TaxCatchAllLabel" minOccurs="0"/>
                <xsd:element ref="ns3:od12f45513fd4debb073a8a26f4c6b4f" minOccurs="0"/>
                <xsd:element ref="ns3:g1fe1e02ea0941d1b1173a4aff436797" minOccurs="0"/>
                <xsd:element ref="ns4:C3TopicNote"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305d22-c52c-4ebf-80a3-731614f57ab7" elementFormDefault="qualified">
    <xsd:import namespace="http://schemas.microsoft.com/office/2006/documentManagement/types"/>
    <xsd:import namespace="http://schemas.microsoft.com/office/infopath/2007/PartnerControls"/>
    <xsd:element name="MPIRegulatoryRoundType" ma:index="4" nillable="true" ma:displayName="Regulatory Round Type" ma:format="Dropdown" ma:internalName="MPIRegulatoryRoundType">
      <xsd:simpleType>
        <xsd:restriction base="dms:Choice">
          <xsd:enumeration value="Regulatory"/>
          <xsd:enumeration value="Round"/>
          <xsd:enumeration value="Sustainability"/>
        </xsd:restriction>
      </xsd:simpleType>
    </xsd:element>
    <xsd:element name="PingarLastProcessed" ma:index="6" nillable="true" ma:displayName="PingarLastProcessed" ma:format="DateTime" ma:internalName="PingarLastProcessed">
      <xsd:simpleType>
        <xsd:restriction base="dms:DateTime"/>
      </xsd:simpleType>
    </xsd:element>
    <xsd:element name="TaxKeywordTaxHTField" ma:index="9" nillable="true" ma:taxonomy="true" ma:internalName="TaxKeywordTaxHTField" ma:taxonomyFieldName="TaxKeyword" ma:displayName="Enterprise Keywords" ma:fieldId="{23f27201-bee3-471e-b2e7-b64fd8b7ca38}" ma:taxonomyMulti="true" ma:sspId="3bfd400a-bb0f-42a8-a885-98b592a0f767"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3f17bfd4-a201-437d-98ff-43d884cbcde5}" ma:internalName="TaxCatchAll" ma:showField="CatchAllData" ma:web="53305d22-c52c-4ebf-80a3-731614f57ab7">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3f17bfd4-a201-437d-98ff-43d884cbcde5}" ma:internalName="TaxCatchAllLabel" ma:readOnly="true" ma:showField="CatchAllDataLabel" ma:web="53305d22-c52c-4ebf-80a3-731614f57ab7">
      <xsd:complexType>
        <xsd:complexContent>
          <xsd:extension base="dms:MultiChoiceLookup">
            <xsd:sequence>
              <xsd:element name="Value" type="dms:Lookup" maxOccurs="unbounded" minOccurs="0" nillable="true"/>
            </xsd:sequence>
          </xsd:extension>
        </xsd:complexContent>
      </xsd:complexType>
    </xsd:element>
    <xsd:element name="od12f45513fd4debb073a8a26f4c6b4f" ma:index="14" nillable="true" ma:taxonomy="true" ma:internalName="od12f45513fd4debb073a8a26f4c6b4f" ma:taxonomyFieldName="PingarMPI_Terms" ma:displayName="Derived Terms" ma:fieldId="{8d12f455-13fd-4deb-b073-a8a26f4c6b4f}" ma:taxonomyMulti="true" ma:sspId="3bfd400a-bb0f-42a8-a885-98b592a0f767" ma:termSetId="c0c02398-e6f2-4f2e-9af7-34dd048d98a1" ma:anchorId="00000000-0000-0000-0000-000000000000" ma:open="false" ma:isKeyword="false">
      <xsd:complexType>
        <xsd:sequence>
          <xsd:element ref="pc:Terms" minOccurs="0" maxOccurs="1"/>
        </xsd:sequence>
      </xsd:complexType>
    </xsd:element>
    <xsd:element name="g1fe1e02ea0941d1b1173a4aff436797" ma:index="17" nillable="true" ma:taxonomy="true" ma:internalName="g1fe1e02ea0941d1b1173a4aff436797" ma:taxonomyFieldName="MPISecurityClassification" ma:displayName="Security Classification" ma:default="1;#None|cf402fa0-b6a8-49a7-a22e-a95b6152c608" ma:fieldId="{01fe1e02-ea09-41d1-b117-3a4aff436797}" ma:sspId="3bfd400a-bb0f-42a8-a885-98b592a0f767" ma:termSetId="0585e480-f249-45e9-9d9a-827200d7ed0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1be4277-2979-4a68-876d-b92b25fceece" elementFormDefault="qualified">
    <xsd:import namespace="http://schemas.microsoft.com/office/2006/documentManagement/types"/>
    <xsd:import namespace="http://schemas.microsoft.com/office/infopath/2007/PartnerControls"/>
    <xsd:element name="C3TopicNote" ma:index="19" nillable="true" ma:taxonomy="true" ma:internalName="C3TopicNote" ma:taxonomyFieldName="C3Topic" ma:displayName="Topic" ma:readOnly="false" ma:fieldId="{6a3fe89f-a6dd-4490-a9c1-3ef38d67b8c7}" ma:sspId="3bfd400a-bb0f-42a8-a885-98b592a0f767" ma:termSetId="9cb9d936-a224-406d-a76a-f42f2d4a040c" ma:anchorId="c23105e8-cc7b-4e51-a705-3a8406f5b8f4"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2BB3C7-FF4B-457C-916B-45D1868416BC}">
  <ds:schemaRefs>
    <ds:schemaRef ds:uri="http://purl.org/dc/elements/1.1/"/>
    <ds:schemaRef ds:uri="http://schemas.microsoft.com/office/2006/metadata/properties"/>
    <ds:schemaRef ds:uri="http://schemas.openxmlformats.org/package/2006/metadata/core-properties"/>
    <ds:schemaRef ds:uri="53305d22-c52c-4ebf-80a3-731614f57ab7"/>
    <ds:schemaRef ds:uri="http://purl.org/dc/terms/"/>
    <ds:schemaRef ds:uri="http://schemas.microsoft.com/office/2006/documentManagement/types"/>
    <ds:schemaRef ds:uri="http://purl.org/dc/dcmitype/"/>
    <ds:schemaRef ds:uri="01be4277-2979-4a68-876d-b92b25fceece"/>
    <ds:schemaRef ds:uri="http://schemas.microsoft.com/office/infopath/2007/PartnerControls"/>
    <ds:schemaRef ds:uri="http://schemas.microsoft.com/sharepoint/v4"/>
    <ds:schemaRef ds:uri="http://www.w3.org/XML/1998/namespace"/>
  </ds:schemaRefs>
</ds:datastoreItem>
</file>

<file path=customXml/itemProps2.xml><?xml version="1.0" encoding="utf-8"?>
<ds:datastoreItem xmlns:ds="http://schemas.openxmlformats.org/officeDocument/2006/customXml" ds:itemID="{B8CFF084-530D-4E2E-A3E3-FDCF5B86C7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305d22-c52c-4ebf-80a3-731614f57ab7"/>
    <ds:schemaRef ds:uri="01be4277-2979-4a68-876d-b92b25fceece"/>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58DF134-C8FF-457A-8A5E-73603C5BF956}">
  <ds:schemaRefs>
    <ds:schemaRef ds:uri="http://schemas.microsoft.com/sharepoint/v3/contenttype/forms"/>
  </ds:schemaRefs>
</ds:datastoreItem>
</file>

<file path=customXml/itemProps4.xml><?xml version="1.0" encoding="utf-8"?>
<ds:datastoreItem xmlns:ds="http://schemas.openxmlformats.org/officeDocument/2006/customXml" ds:itemID="{D3990A87-CB5C-4BB3-986A-FBFF1A8E5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MPI Report Template.dot</Template>
  <TotalTime>0</TotalTime>
  <Pages>15</Pages>
  <Words>3385</Words>
  <Characters>19295</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Review of Management Controls for the Rubyfish 3 Fishery (RBY 3) in 2016</vt:lpstr>
    </vt:vector>
  </TitlesOfParts>
  <Company>Ministry of Agriculture and Forestry</Company>
  <LinksUpToDate>false</LinksUpToDate>
  <CharactersWithSpaces>22635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Management Controls for the Rubyfish 3 Fishery (RBY 3) in 2016</dc:title>
  <dc:subject/>
  <dc:creator>Authorised User</dc:creator>
  <cp:keywords/>
  <dc:description>2002</dc:description>
  <cp:lastModifiedBy>Sonja Hempel</cp:lastModifiedBy>
  <cp:revision>2</cp:revision>
  <cp:lastPrinted>2016-05-27T02:54:00Z</cp:lastPrinted>
  <dcterms:created xsi:type="dcterms:W3CDTF">2016-06-07T02:21:00Z</dcterms:created>
  <dcterms:modified xsi:type="dcterms:W3CDTF">2016-06-07T02:21:00Z</dcterms:modified>
  <cp:category>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0x0101005496552013C0BA46BE88192D5C6EB20B00BC7B51C3C3DA487E91D1E0ED95F8C85C0050651C5176DF77499FC56E8051007AF6</vt:lpwstr>
  </property>
  <property fmtid="{D5CDD505-2E9C-101B-9397-08002B2CF9AE}" pid="3" name="MPIFishingYear">
    <vt:lpwstr/>
  </property>
  <property fmtid="{D5CDD505-2E9C-101B-9397-08002B2CF9AE}" pid="4" name="TaxKeyword">
    <vt:lpwstr/>
  </property>
  <property fmtid="{D5CDD505-2E9C-101B-9397-08002B2CF9AE}" pid="5" name="g6f5970aaae1455591eba4514e9755ef">
    <vt:lpwstr/>
  </property>
  <property fmtid="{D5CDD505-2E9C-101B-9397-08002B2CF9AE}" pid="6" name="o4e75948e675413b9688ff9fe3f48c77">
    <vt:lpwstr/>
  </property>
  <property fmtid="{D5CDD505-2E9C-101B-9397-08002B2CF9AE}" pid="7" name="MPISecurityClassification">
    <vt:lpwstr>1;#None|cf402fa0-b6a8-49a7-a22e-a95b6152c608</vt:lpwstr>
  </property>
  <property fmtid="{D5CDD505-2E9C-101B-9397-08002B2CF9AE}" pid="8" name="MPIYear">
    <vt:lpwstr/>
  </property>
  <property fmtid="{D5CDD505-2E9C-101B-9397-08002B2CF9AE}" pid="9" name="PingarMPI_Terms">
    <vt:lpwstr/>
  </property>
  <property fmtid="{D5CDD505-2E9C-101B-9397-08002B2CF9AE}" pid="10" name="C3Topic">
    <vt:lpwstr>7030;#Consultation|772aab91-6720-4ebc-8cf2-6f1a4b79c74a</vt:lpwstr>
  </property>
  <property fmtid="{D5CDD505-2E9C-101B-9397-08002B2CF9AE}" pid="11" name="c386641a8d104d09aa789607b1976b5e">
    <vt:lpwstr/>
  </property>
  <property fmtid="{D5CDD505-2E9C-101B-9397-08002B2CF9AE}" pid="12" name="MPIMonth">
    <vt:lpwstr/>
  </property>
</Properties>
</file>